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99D811" w14:textId="77777777" w:rsidR="00DD0D6B" w:rsidRDefault="00DD0D6B" w:rsidP="00DD0D6B">
      <w:pPr>
        <w:jc w:val="center"/>
        <w:rPr>
          <w:b/>
          <w:sz w:val="24"/>
          <w:szCs w:val="20"/>
        </w:rPr>
      </w:pPr>
      <w:r w:rsidRPr="00C5157B">
        <w:rPr>
          <w:b/>
          <w:bCs/>
          <w:noProof/>
          <w:color w:val="1F497D"/>
          <w:szCs w:val="20"/>
          <w:lang w:eastAsia="en-GB"/>
        </w:rPr>
        <w:drawing>
          <wp:inline distT="0" distB="0" distL="0" distR="0" wp14:anchorId="14F35D1F" wp14:editId="574835BE">
            <wp:extent cx="2277110" cy="1134110"/>
            <wp:effectExtent l="0" t="0" r="8890" b="8890"/>
            <wp:docPr id="1" name="Picture 1" descr="cid:image006.jpg@01D14D58.041AEF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6.jpg@01D14D58.041AEFB0"/>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2277110" cy="1134110"/>
                    </a:xfrm>
                    <a:prstGeom prst="rect">
                      <a:avLst/>
                    </a:prstGeom>
                    <a:noFill/>
                    <a:ln>
                      <a:noFill/>
                    </a:ln>
                  </pic:spPr>
                </pic:pic>
              </a:graphicData>
            </a:graphic>
          </wp:inline>
        </w:drawing>
      </w:r>
    </w:p>
    <w:p w14:paraId="0C02C97D" w14:textId="77777777" w:rsidR="00DD0D6B" w:rsidRDefault="00DD0D6B" w:rsidP="00DD0D6B">
      <w:pPr>
        <w:jc w:val="center"/>
        <w:rPr>
          <w:b/>
          <w:sz w:val="24"/>
          <w:szCs w:val="20"/>
        </w:rPr>
      </w:pPr>
    </w:p>
    <w:p w14:paraId="61F8748F" w14:textId="77777777" w:rsidR="00DD0D6B" w:rsidRPr="00C5157B" w:rsidRDefault="00DD0D6B" w:rsidP="00DD0D6B">
      <w:pPr>
        <w:jc w:val="center"/>
        <w:rPr>
          <w:b/>
          <w:sz w:val="24"/>
          <w:szCs w:val="20"/>
        </w:rPr>
      </w:pPr>
      <w:r w:rsidRPr="00C5157B">
        <w:rPr>
          <w:b/>
          <w:sz w:val="24"/>
          <w:szCs w:val="20"/>
        </w:rPr>
        <w:t>MRS Summary:</w:t>
      </w:r>
    </w:p>
    <w:p w14:paraId="139C7BFA" w14:textId="4A052BAD" w:rsidR="00DD0D6B" w:rsidRPr="00C5157B" w:rsidRDefault="00DD0D6B" w:rsidP="00DD0D6B">
      <w:pPr>
        <w:jc w:val="center"/>
        <w:rPr>
          <w:b/>
          <w:sz w:val="24"/>
          <w:szCs w:val="20"/>
        </w:rPr>
      </w:pPr>
      <w:r w:rsidRPr="00C5157B">
        <w:rPr>
          <w:b/>
          <w:sz w:val="24"/>
          <w:szCs w:val="20"/>
        </w:rPr>
        <w:t>Report of the Inquiry into the 2015 British</w:t>
      </w:r>
      <w:r w:rsidR="00E979C1">
        <w:rPr>
          <w:b/>
          <w:sz w:val="24"/>
          <w:szCs w:val="20"/>
        </w:rPr>
        <w:t xml:space="preserve"> general election opinion polls</w:t>
      </w:r>
    </w:p>
    <w:p w14:paraId="754CDA1E" w14:textId="77777777" w:rsidR="00DD0D6B" w:rsidRPr="006B4447" w:rsidRDefault="00DD0D6B" w:rsidP="00DD0D6B">
      <w:pPr>
        <w:ind w:left="10"/>
        <w:jc w:val="both"/>
        <w:rPr>
          <w:rFonts w:eastAsia="Cambria"/>
          <w:b/>
          <w:szCs w:val="20"/>
          <w:u w:val="single"/>
        </w:rPr>
      </w:pPr>
      <w:r w:rsidRPr="006B4447">
        <w:rPr>
          <w:rFonts w:eastAsia="Cambria"/>
          <w:b/>
          <w:szCs w:val="20"/>
          <w:u w:val="single"/>
        </w:rPr>
        <w:t>Background</w:t>
      </w:r>
    </w:p>
    <w:p w14:paraId="2058A8DC" w14:textId="77777777" w:rsidR="00DD0D6B" w:rsidRDefault="00DD0D6B" w:rsidP="00DD0D6B">
      <w:pPr>
        <w:ind w:left="10"/>
        <w:jc w:val="both"/>
        <w:rPr>
          <w:rFonts w:eastAsia="Cambria"/>
          <w:szCs w:val="20"/>
        </w:rPr>
      </w:pPr>
      <w:r w:rsidRPr="00C5157B">
        <w:rPr>
          <w:szCs w:val="20"/>
        </w:rPr>
        <w:t xml:space="preserve">The </w:t>
      </w:r>
      <w:r w:rsidRPr="00A80852">
        <w:rPr>
          <w:szCs w:val="20"/>
        </w:rPr>
        <w:t>Report of the Inquiry</w:t>
      </w:r>
      <w:r w:rsidRPr="00C5157B">
        <w:rPr>
          <w:szCs w:val="20"/>
        </w:rPr>
        <w:t xml:space="preserve"> into the 2015 British general election opinion polls</w:t>
      </w:r>
      <w:r w:rsidRPr="00C5157B">
        <w:rPr>
          <w:rFonts w:eastAsia="Cambria"/>
          <w:szCs w:val="20"/>
        </w:rPr>
        <w:t xml:space="preserve"> was prepared for the British Polling Council</w:t>
      </w:r>
      <w:r>
        <w:rPr>
          <w:rFonts w:eastAsia="Cambria"/>
          <w:szCs w:val="20"/>
        </w:rPr>
        <w:t xml:space="preserve"> (BPC)</w:t>
      </w:r>
      <w:r w:rsidRPr="00C5157B">
        <w:rPr>
          <w:rFonts w:eastAsia="Cambria"/>
          <w:szCs w:val="20"/>
        </w:rPr>
        <w:t xml:space="preserve"> and the Market Research Society</w:t>
      </w:r>
      <w:r>
        <w:rPr>
          <w:rFonts w:eastAsia="Cambria"/>
          <w:szCs w:val="20"/>
        </w:rPr>
        <w:t xml:space="preserve"> (MRS)</w:t>
      </w:r>
      <w:r w:rsidRPr="00C5157B">
        <w:rPr>
          <w:rFonts w:eastAsia="Cambria"/>
          <w:szCs w:val="20"/>
        </w:rPr>
        <w:t xml:space="preserve"> </w:t>
      </w:r>
      <w:r>
        <w:rPr>
          <w:rFonts w:eastAsia="Cambria"/>
          <w:szCs w:val="20"/>
        </w:rPr>
        <w:t xml:space="preserve">by an independent Panel chaired by Professor Patrick Sturgis from the University of Southampton.  </w:t>
      </w:r>
    </w:p>
    <w:p w14:paraId="0452D26C" w14:textId="77777777" w:rsidR="00DD0D6B" w:rsidRPr="006B4447" w:rsidRDefault="00DD0D6B" w:rsidP="00DD0D6B">
      <w:pPr>
        <w:ind w:left="10"/>
        <w:jc w:val="both"/>
        <w:rPr>
          <w:rFonts w:eastAsia="Cambria"/>
          <w:b/>
          <w:szCs w:val="20"/>
          <w:u w:val="single"/>
        </w:rPr>
      </w:pPr>
      <w:r w:rsidRPr="006B4447">
        <w:rPr>
          <w:rFonts w:eastAsia="Cambria"/>
          <w:b/>
          <w:szCs w:val="20"/>
          <w:u w:val="single"/>
        </w:rPr>
        <w:t>The Conclusion of the Panel</w:t>
      </w:r>
    </w:p>
    <w:p w14:paraId="785F2C2F" w14:textId="77777777" w:rsidR="00DD0D6B" w:rsidRDefault="00DD0D6B" w:rsidP="00DD0D6B">
      <w:pPr>
        <w:ind w:left="10"/>
        <w:jc w:val="both"/>
        <w:rPr>
          <w:rFonts w:eastAsia="Cambria"/>
          <w:szCs w:val="20"/>
        </w:rPr>
      </w:pPr>
      <w:r>
        <w:rPr>
          <w:rFonts w:eastAsia="Cambria"/>
          <w:szCs w:val="20"/>
        </w:rPr>
        <w:t>The Panel</w:t>
      </w:r>
      <w:r w:rsidRPr="00C5157B">
        <w:rPr>
          <w:rFonts w:eastAsia="Cambria"/>
          <w:szCs w:val="20"/>
        </w:rPr>
        <w:t xml:space="preserve"> considered a broad range of evidence in order to assess what caused the polls – collectively and individually – to produce inaccurate estimates of the n</w:t>
      </w:r>
      <w:r>
        <w:rPr>
          <w:rFonts w:eastAsia="Cambria"/>
          <w:szCs w:val="20"/>
        </w:rPr>
        <w:t>ational vote shares in 2015. The Panel’s</w:t>
      </w:r>
      <w:r w:rsidRPr="00C5157B">
        <w:rPr>
          <w:rFonts w:eastAsia="Cambria"/>
          <w:szCs w:val="20"/>
        </w:rPr>
        <w:t xml:space="preserve"> conclusion is that the primary cause of the polling miss was </w:t>
      </w:r>
      <w:r w:rsidRPr="00C5157B">
        <w:rPr>
          <w:rFonts w:eastAsia="Cambria"/>
          <w:b/>
          <w:i/>
          <w:szCs w:val="20"/>
        </w:rPr>
        <w:t>unrepresentative samples</w:t>
      </w:r>
      <w:r w:rsidRPr="00C5157B">
        <w:rPr>
          <w:rFonts w:eastAsia="Cambria"/>
          <w:szCs w:val="20"/>
        </w:rPr>
        <w:t xml:space="preserve">. </w:t>
      </w:r>
    </w:p>
    <w:p w14:paraId="762EF4B1" w14:textId="77777777" w:rsidR="00DD0D6B" w:rsidRDefault="00DD0D6B" w:rsidP="00DD0D6B">
      <w:pPr>
        <w:ind w:left="10"/>
        <w:jc w:val="both"/>
        <w:rPr>
          <w:rFonts w:eastAsia="Cambria"/>
          <w:szCs w:val="20"/>
        </w:rPr>
      </w:pPr>
      <w:r>
        <w:rPr>
          <w:rFonts w:eastAsia="Cambria"/>
          <w:szCs w:val="20"/>
        </w:rPr>
        <w:t>The methods the pollsters used t</w:t>
      </w:r>
      <w:r w:rsidRPr="00C5157B">
        <w:rPr>
          <w:rFonts w:eastAsia="Cambria"/>
          <w:szCs w:val="20"/>
        </w:rPr>
        <w:t>o</w:t>
      </w:r>
      <w:bookmarkStart w:id="0" w:name="page77"/>
      <w:bookmarkEnd w:id="0"/>
      <w:r>
        <w:rPr>
          <w:rFonts w:eastAsia="Cambria"/>
          <w:szCs w:val="20"/>
        </w:rPr>
        <w:t xml:space="preserve"> </w:t>
      </w:r>
      <w:r w:rsidRPr="00C5157B">
        <w:rPr>
          <w:rFonts w:eastAsia="Cambria"/>
          <w:szCs w:val="20"/>
        </w:rPr>
        <w:t>collect samples of voters systematically over-represented Labour supporters and under-represented Conservative supporters. The statistical adjustment procedures applied to the raw data did not mitigate this basic problem to any notable degree.</w:t>
      </w:r>
    </w:p>
    <w:p w14:paraId="026E209E" w14:textId="77777777" w:rsidR="00DD0D6B" w:rsidRPr="006B4447" w:rsidRDefault="00DD0D6B" w:rsidP="00DD0D6B">
      <w:pPr>
        <w:ind w:left="10"/>
        <w:jc w:val="both"/>
        <w:rPr>
          <w:rFonts w:eastAsia="Cambria"/>
          <w:b/>
          <w:szCs w:val="20"/>
          <w:u w:val="single"/>
        </w:rPr>
      </w:pPr>
      <w:r w:rsidRPr="006B4447">
        <w:rPr>
          <w:rFonts w:eastAsia="Cambria"/>
          <w:b/>
          <w:szCs w:val="20"/>
          <w:u w:val="single"/>
        </w:rPr>
        <w:t>How the conclusion was reached</w:t>
      </w:r>
    </w:p>
    <w:p w14:paraId="55E5F9AE" w14:textId="77777777" w:rsidR="00DD0D6B" w:rsidRDefault="00DD0D6B" w:rsidP="00DD0D6B">
      <w:pPr>
        <w:jc w:val="both"/>
        <w:rPr>
          <w:rFonts w:eastAsia="Cambria"/>
          <w:szCs w:val="20"/>
        </w:rPr>
      </w:pPr>
      <w:r>
        <w:rPr>
          <w:rFonts w:eastAsia="Cambria"/>
          <w:szCs w:val="20"/>
        </w:rPr>
        <w:t>The Panel</w:t>
      </w:r>
      <w:r w:rsidRPr="00C5157B">
        <w:rPr>
          <w:rFonts w:eastAsia="Cambria"/>
          <w:szCs w:val="20"/>
        </w:rPr>
        <w:t xml:space="preserve"> came to this conclusion, partly, by elimination of other putativ</w:t>
      </w:r>
      <w:r>
        <w:rPr>
          <w:rFonts w:eastAsia="Cambria"/>
          <w:szCs w:val="20"/>
        </w:rPr>
        <w:t>e causes of the error.  A number of areas were considered:</w:t>
      </w:r>
    </w:p>
    <w:p w14:paraId="72A86F76" w14:textId="77777777" w:rsidR="00DD0D6B" w:rsidRPr="006B4447" w:rsidRDefault="00DD0D6B" w:rsidP="00DD0D6B">
      <w:pPr>
        <w:pStyle w:val="ListParagraph"/>
        <w:numPr>
          <w:ilvl w:val="0"/>
          <w:numId w:val="1"/>
        </w:numPr>
        <w:jc w:val="both"/>
        <w:rPr>
          <w:rFonts w:eastAsia="Cambria"/>
          <w:i/>
          <w:szCs w:val="20"/>
        </w:rPr>
      </w:pPr>
      <w:r w:rsidRPr="006B4447">
        <w:rPr>
          <w:rFonts w:eastAsia="Cambria"/>
          <w:i/>
          <w:szCs w:val="20"/>
        </w:rPr>
        <w:t>Flawed analysis</w:t>
      </w:r>
    </w:p>
    <w:p w14:paraId="42C8FE40" w14:textId="77777777" w:rsidR="00DD0D6B" w:rsidRDefault="00DD0D6B" w:rsidP="00DD0D6B">
      <w:pPr>
        <w:jc w:val="both"/>
        <w:rPr>
          <w:rFonts w:eastAsia="Cambria"/>
          <w:szCs w:val="20"/>
        </w:rPr>
      </w:pPr>
      <w:r>
        <w:rPr>
          <w:rFonts w:eastAsia="Cambria"/>
          <w:szCs w:val="20"/>
        </w:rPr>
        <w:t>The Panel</w:t>
      </w:r>
      <w:r w:rsidRPr="00C5157B">
        <w:rPr>
          <w:rFonts w:eastAsia="Cambria"/>
          <w:szCs w:val="20"/>
        </w:rPr>
        <w:t xml:space="preserve"> were able to replicate all published estimates for the first, the penultimate, and the final polls using the raw micro-data provided by the BPC pollsters. </w:t>
      </w:r>
      <w:r>
        <w:rPr>
          <w:rFonts w:eastAsia="Cambria"/>
          <w:szCs w:val="20"/>
        </w:rPr>
        <w:t>This enabled the Panel</w:t>
      </w:r>
      <w:r w:rsidRPr="00C5157B">
        <w:rPr>
          <w:rFonts w:eastAsia="Cambria"/>
          <w:szCs w:val="20"/>
        </w:rPr>
        <w:t xml:space="preserve"> to rule out the possibility that at least some of the errors might have been caused by flawed analysis, or by use of inaccurate weighting targets </w:t>
      </w:r>
      <w:r>
        <w:rPr>
          <w:rFonts w:eastAsia="Cambria"/>
          <w:szCs w:val="20"/>
        </w:rPr>
        <w:t xml:space="preserve">on the part of the pollsters. </w:t>
      </w:r>
    </w:p>
    <w:p w14:paraId="33CEA4CF" w14:textId="77777777" w:rsidR="00DD0D6B" w:rsidRPr="006B4447" w:rsidRDefault="00DD0D6B" w:rsidP="00DD0D6B">
      <w:pPr>
        <w:pStyle w:val="ListParagraph"/>
        <w:numPr>
          <w:ilvl w:val="0"/>
          <w:numId w:val="1"/>
        </w:numPr>
        <w:jc w:val="both"/>
        <w:rPr>
          <w:rFonts w:eastAsia="Cambria"/>
          <w:i/>
          <w:szCs w:val="20"/>
        </w:rPr>
      </w:pPr>
      <w:r w:rsidRPr="006B4447">
        <w:rPr>
          <w:rFonts w:eastAsia="Cambria"/>
          <w:i/>
          <w:szCs w:val="20"/>
        </w:rPr>
        <w:t>Overseas voters</w:t>
      </w:r>
    </w:p>
    <w:p w14:paraId="19955E96" w14:textId="77777777" w:rsidR="00DD0D6B" w:rsidRDefault="00DD0D6B" w:rsidP="00DD0D6B">
      <w:pPr>
        <w:jc w:val="both"/>
        <w:rPr>
          <w:rFonts w:eastAsia="Cambria"/>
          <w:szCs w:val="20"/>
        </w:rPr>
      </w:pPr>
      <w:r>
        <w:rPr>
          <w:rFonts w:eastAsia="Cambria"/>
          <w:szCs w:val="20"/>
        </w:rPr>
        <w:t>The Panel</w:t>
      </w:r>
      <w:r w:rsidRPr="00C5157B">
        <w:rPr>
          <w:rFonts w:eastAsia="Cambria"/>
          <w:szCs w:val="20"/>
        </w:rPr>
        <w:t xml:space="preserve"> were also able to exclude the possibility that postal voters, overseas voters, and un-registered voters made any detectable contribution to the polling errors. </w:t>
      </w:r>
    </w:p>
    <w:p w14:paraId="4E30A003" w14:textId="77777777" w:rsidR="00F85B4B" w:rsidRDefault="00F85B4B" w:rsidP="00DD0D6B">
      <w:pPr>
        <w:jc w:val="both"/>
        <w:rPr>
          <w:rFonts w:eastAsia="Cambria"/>
          <w:szCs w:val="20"/>
        </w:rPr>
      </w:pPr>
    </w:p>
    <w:p w14:paraId="3A77642A" w14:textId="77777777" w:rsidR="00F85B4B" w:rsidRDefault="00F85B4B" w:rsidP="00DD0D6B">
      <w:pPr>
        <w:jc w:val="both"/>
        <w:rPr>
          <w:rFonts w:eastAsia="Cambria"/>
          <w:szCs w:val="20"/>
        </w:rPr>
      </w:pPr>
    </w:p>
    <w:p w14:paraId="125A5B9D" w14:textId="77777777" w:rsidR="00DD0D6B" w:rsidRPr="006B4447" w:rsidRDefault="00DD0D6B" w:rsidP="00DD0D6B">
      <w:pPr>
        <w:pStyle w:val="ListParagraph"/>
        <w:numPr>
          <w:ilvl w:val="0"/>
          <w:numId w:val="1"/>
        </w:numPr>
        <w:jc w:val="both"/>
        <w:rPr>
          <w:rFonts w:eastAsia="Cambria"/>
          <w:i/>
          <w:szCs w:val="20"/>
        </w:rPr>
      </w:pPr>
      <w:r w:rsidRPr="006B4447">
        <w:rPr>
          <w:rFonts w:eastAsia="Cambria"/>
          <w:i/>
          <w:szCs w:val="20"/>
        </w:rPr>
        <w:lastRenderedPageBreak/>
        <w:t>Voting intentions</w:t>
      </w:r>
    </w:p>
    <w:p w14:paraId="2F795593" w14:textId="77777777" w:rsidR="00DD0D6B" w:rsidRDefault="00DD0D6B" w:rsidP="00DD0D6B">
      <w:pPr>
        <w:jc w:val="both"/>
        <w:rPr>
          <w:rFonts w:eastAsia="Cambria"/>
          <w:szCs w:val="20"/>
        </w:rPr>
      </w:pPr>
      <w:r w:rsidRPr="00C5157B">
        <w:rPr>
          <w:rFonts w:eastAsia="Cambria"/>
          <w:szCs w:val="20"/>
        </w:rPr>
        <w:t>The ways that pollsters asked respondents about their voting intentions was also eliminated as a possible cause of what went wrong.</w:t>
      </w:r>
    </w:p>
    <w:p w14:paraId="5CD4C370" w14:textId="77777777" w:rsidR="00DD0D6B" w:rsidRPr="006B4447" w:rsidRDefault="00DD0D6B" w:rsidP="00DD0D6B">
      <w:pPr>
        <w:pStyle w:val="ListParagraph"/>
        <w:numPr>
          <w:ilvl w:val="0"/>
          <w:numId w:val="1"/>
        </w:numPr>
        <w:jc w:val="both"/>
        <w:rPr>
          <w:rFonts w:eastAsia="Cambria"/>
          <w:i/>
          <w:szCs w:val="20"/>
        </w:rPr>
      </w:pPr>
      <w:r w:rsidRPr="006B4447">
        <w:rPr>
          <w:rFonts w:eastAsia="Cambria"/>
          <w:i/>
          <w:szCs w:val="20"/>
        </w:rPr>
        <w:t>Late swing</w:t>
      </w:r>
    </w:p>
    <w:p w14:paraId="695A9420" w14:textId="77777777" w:rsidR="00DD0D6B" w:rsidRDefault="00DD0D6B" w:rsidP="00DD0D6B">
      <w:pPr>
        <w:jc w:val="both"/>
        <w:rPr>
          <w:rFonts w:eastAsia="Cambria"/>
          <w:szCs w:val="20"/>
        </w:rPr>
      </w:pPr>
      <w:r>
        <w:rPr>
          <w:rFonts w:eastAsia="Cambria"/>
          <w:szCs w:val="20"/>
        </w:rPr>
        <w:t>The Panel</w:t>
      </w:r>
      <w:r w:rsidRPr="00C5157B">
        <w:rPr>
          <w:rFonts w:eastAsia="Cambria"/>
          <w:szCs w:val="20"/>
        </w:rPr>
        <w:t xml:space="preserve"> found weak evidence that there may have been a very modest late swing to the Conservatives between the final polls and Election Day, although this can have contributed – at most – around one percentage point to the mean absolute error on the Conservative lead. The widely held view that the polling miss was due to deliberate misreporting - ‘shy Tories’ telling pollsters they intended to vote for other parties - is difficult to reconcile with the results of the re-contact surveys carried out by the pollsters and with the two random surveys undertake</w:t>
      </w:r>
      <w:r>
        <w:rPr>
          <w:rFonts w:eastAsia="Cambria"/>
          <w:szCs w:val="20"/>
        </w:rPr>
        <w:t xml:space="preserve">n after the election. </w:t>
      </w:r>
    </w:p>
    <w:p w14:paraId="52F173CE" w14:textId="77777777" w:rsidR="00DD0D6B" w:rsidRPr="006B4447" w:rsidRDefault="00DD0D6B" w:rsidP="00DD0D6B">
      <w:pPr>
        <w:pStyle w:val="ListParagraph"/>
        <w:numPr>
          <w:ilvl w:val="0"/>
          <w:numId w:val="1"/>
        </w:numPr>
        <w:jc w:val="both"/>
        <w:rPr>
          <w:rFonts w:eastAsia="Cambria"/>
          <w:i/>
          <w:szCs w:val="20"/>
        </w:rPr>
      </w:pPr>
      <w:r w:rsidRPr="006B4447">
        <w:rPr>
          <w:rFonts w:eastAsia="Cambria"/>
          <w:i/>
          <w:szCs w:val="20"/>
        </w:rPr>
        <w:t>Deliberate misreporting</w:t>
      </w:r>
    </w:p>
    <w:p w14:paraId="13F47A0F" w14:textId="77777777" w:rsidR="00DD0D6B" w:rsidRDefault="00DD0D6B" w:rsidP="00DD0D6B">
      <w:pPr>
        <w:jc w:val="both"/>
        <w:rPr>
          <w:rFonts w:eastAsia="Cambria"/>
          <w:szCs w:val="20"/>
        </w:rPr>
      </w:pPr>
      <w:r>
        <w:rPr>
          <w:rFonts w:eastAsia="Cambria"/>
          <w:szCs w:val="20"/>
        </w:rPr>
        <w:t>The Panel</w:t>
      </w:r>
      <w:r w:rsidRPr="00C5157B">
        <w:rPr>
          <w:rFonts w:eastAsia="Cambria"/>
          <w:szCs w:val="20"/>
        </w:rPr>
        <w:t xml:space="preserve"> reject</w:t>
      </w:r>
      <w:r>
        <w:rPr>
          <w:rFonts w:eastAsia="Cambria"/>
          <w:szCs w:val="20"/>
        </w:rPr>
        <w:t>ed</w:t>
      </w:r>
      <w:r w:rsidRPr="00C5157B">
        <w:rPr>
          <w:rFonts w:eastAsia="Cambria"/>
          <w:szCs w:val="20"/>
        </w:rPr>
        <w:t xml:space="preserve"> deliberate misreporting as a contributory factor in the polling miss. </w:t>
      </w:r>
    </w:p>
    <w:p w14:paraId="24FB4B39" w14:textId="77777777" w:rsidR="00DD0D6B" w:rsidRPr="006B4447" w:rsidRDefault="00DD0D6B" w:rsidP="00DD0D6B">
      <w:pPr>
        <w:pStyle w:val="ListParagraph"/>
        <w:numPr>
          <w:ilvl w:val="0"/>
          <w:numId w:val="1"/>
        </w:numPr>
        <w:jc w:val="both"/>
        <w:rPr>
          <w:rFonts w:eastAsia="Cambria"/>
          <w:i/>
          <w:szCs w:val="20"/>
        </w:rPr>
      </w:pPr>
      <w:r w:rsidRPr="006B4447">
        <w:rPr>
          <w:rFonts w:eastAsia="Cambria"/>
          <w:i/>
          <w:szCs w:val="20"/>
        </w:rPr>
        <w:t>Differential turnout</w:t>
      </w:r>
    </w:p>
    <w:p w14:paraId="57817EE8" w14:textId="77777777" w:rsidR="00DD0D6B" w:rsidRPr="00C5157B" w:rsidRDefault="00DD0D6B" w:rsidP="00DD0D6B">
      <w:pPr>
        <w:jc w:val="both"/>
        <w:rPr>
          <w:rFonts w:eastAsia="Cambria"/>
          <w:szCs w:val="20"/>
        </w:rPr>
      </w:pPr>
      <w:r w:rsidRPr="00C5157B">
        <w:rPr>
          <w:rFonts w:eastAsia="Cambria"/>
          <w:szCs w:val="20"/>
        </w:rPr>
        <w:t>Differential turnout was also pointed to after the election as a likely cause of the errors; so-called ‘lazy Labour’ supporters telling pollsters they would vote Labour but ultimately not turning out to vote. Data from a number of sources shows no support for differential turnout misreporting making anything but a very small contribution to the polling errors.</w:t>
      </w:r>
    </w:p>
    <w:p w14:paraId="1DEE62C6" w14:textId="77777777" w:rsidR="00DD0D6B" w:rsidRDefault="00DD0D6B" w:rsidP="00DD0D6B">
      <w:pPr>
        <w:jc w:val="both"/>
        <w:rPr>
          <w:rFonts w:eastAsia="Cambria"/>
          <w:szCs w:val="20"/>
        </w:rPr>
      </w:pPr>
      <w:r w:rsidRPr="00C5157B">
        <w:rPr>
          <w:rFonts w:eastAsia="Cambria"/>
          <w:szCs w:val="20"/>
        </w:rPr>
        <w:t xml:space="preserve">That these factors did not contribute, in anything other than a trivial way, to the polling miss in 2015 does not mean that they </w:t>
      </w:r>
      <w:r>
        <w:rPr>
          <w:rFonts w:eastAsia="Cambria"/>
          <w:szCs w:val="20"/>
        </w:rPr>
        <w:t>might not cause more substantial</w:t>
      </w:r>
      <w:r w:rsidRPr="006B4447">
        <w:rPr>
          <w:rFonts w:eastAsia="Cambria"/>
          <w:szCs w:val="20"/>
        </w:rPr>
        <w:t xml:space="preserve"> </w:t>
      </w:r>
      <w:r w:rsidRPr="00C5157B">
        <w:rPr>
          <w:rFonts w:eastAsia="Cambria"/>
          <w:szCs w:val="20"/>
        </w:rPr>
        <w:t xml:space="preserve">problems in the future. </w:t>
      </w:r>
    </w:p>
    <w:p w14:paraId="5D500D43" w14:textId="77777777" w:rsidR="00DD0D6B" w:rsidRPr="003E260B" w:rsidRDefault="00DD0D6B" w:rsidP="00DD0D6B">
      <w:pPr>
        <w:jc w:val="both"/>
        <w:rPr>
          <w:rFonts w:eastAsia="Cambria"/>
          <w:b/>
          <w:szCs w:val="20"/>
          <w:u w:val="single"/>
        </w:rPr>
      </w:pPr>
      <w:r w:rsidRPr="003E260B">
        <w:rPr>
          <w:rFonts w:eastAsia="Cambria"/>
          <w:b/>
          <w:szCs w:val="20"/>
          <w:u w:val="single"/>
        </w:rPr>
        <w:t>Recommendations from the Panel</w:t>
      </w:r>
      <w:bookmarkStart w:id="1" w:name="page78"/>
      <w:bookmarkEnd w:id="1"/>
    </w:p>
    <w:p w14:paraId="63199A2E" w14:textId="77777777" w:rsidR="00DD0D6B" w:rsidRDefault="00DD0D6B" w:rsidP="00DD0D6B">
      <w:pPr>
        <w:jc w:val="both"/>
        <w:rPr>
          <w:rFonts w:eastAsia="Cambria"/>
          <w:szCs w:val="20"/>
        </w:rPr>
      </w:pPr>
      <w:r>
        <w:rPr>
          <w:rFonts w:eastAsia="Cambria"/>
          <w:szCs w:val="20"/>
        </w:rPr>
        <w:t xml:space="preserve">The Panel had a number of recommendations.  The Panel </w:t>
      </w:r>
      <w:r w:rsidRPr="00C5157B">
        <w:rPr>
          <w:rFonts w:eastAsia="Cambria"/>
          <w:szCs w:val="20"/>
        </w:rPr>
        <w:t>recommend</w:t>
      </w:r>
      <w:r>
        <w:rPr>
          <w:rFonts w:eastAsia="Cambria"/>
          <w:szCs w:val="20"/>
        </w:rPr>
        <w:t>ed</w:t>
      </w:r>
      <w:r w:rsidRPr="00C5157B">
        <w:rPr>
          <w:rFonts w:eastAsia="Cambria"/>
          <w:szCs w:val="20"/>
        </w:rPr>
        <w:t xml:space="preserve"> that BPC members should:</w:t>
      </w:r>
    </w:p>
    <w:p w14:paraId="683CC48E" w14:textId="77777777" w:rsidR="00DD0D6B" w:rsidRDefault="00DD0D6B" w:rsidP="00DD0D6B">
      <w:pPr>
        <w:pStyle w:val="ListParagraph"/>
        <w:numPr>
          <w:ilvl w:val="0"/>
          <w:numId w:val="1"/>
        </w:numPr>
        <w:jc w:val="both"/>
        <w:rPr>
          <w:rFonts w:eastAsia="Cambria"/>
          <w:i/>
          <w:szCs w:val="20"/>
        </w:rPr>
      </w:pPr>
      <w:r w:rsidRPr="00856452">
        <w:rPr>
          <w:rFonts w:eastAsia="Cambria"/>
          <w:i/>
          <w:szCs w:val="20"/>
        </w:rPr>
        <w:t>Voting intentions</w:t>
      </w:r>
    </w:p>
    <w:p w14:paraId="7E4D605C" w14:textId="77777777" w:rsidR="00DD0D6B" w:rsidRPr="00856452" w:rsidRDefault="00DD0D6B" w:rsidP="00DD0D6B">
      <w:pPr>
        <w:pStyle w:val="ListParagraph"/>
        <w:ind w:left="360"/>
        <w:jc w:val="both"/>
        <w:rPr>
          <w:rFonts w:eastAsia="Cambria"/>
          <w:i/>
          <w:szCs w:val="20"/>
        </w:rPr>
      </w:pPr>
    </w:p>
    <w:p w14:paraId="5A197C7E" w14:textId="438F6E57" w:rsidR="00DD0D6B" w:rsidRDefault="00DD0D6B" w:rsidP="00DD0D6B">
      <w:pPr>
        <w:pStyle w:val="ListParagraph"/>
        <w:numPr>
          <w:ilvl w:val="0"/>
          <w:numId w:val="2"/>
        </w:numPr>
        <w:tabs>
          <w:tab w:val="left" w:pos="720"/>
        </w:tabs>
        <w:spacing w:after="0"/>
        <w:jc w:val="both"/>
        <w:rPr>
          <w:rFonts w:eastAsia="Cambria"/>
          <w:szCs w:val="20"/>
        </w:rPr>
      </w:pPr>
      <w:r w:rsidRPr="00856452">
        <w:rPr>
          <w:rFonts w:eastAsia="Cambria"/>
          <w:szCs w:val="20"/>
        </w:rPr>
        <w:t>Include questions during the short campaign to determine whether respondents have already voted by post. Where respondents have already voted by post they should not be asked the likelihood to vote question.</w:t>
      </w:r>
    </w:p>
    <w:p w14:paraId="7088DCD0" w14:textId="77777777" w:rsidR="00A32012" w:rsidRPr="00A32012" w:rsidRDefault="00A32012" w:rsidP="00A32012">
      <w:pPr>
        <w:pStyle w:val="ListParagraph"/>
        <w:tabs>
          <w:tab w:val="left" w:pos="720"/>
        </w:tabs>
        <w:spacing w:after="0"/>
        <w:ind w:left="360"/>
        <w:jc w:val="both"/>
        <w:rPr>
          <w:rFonts w:eastAsia="Cambria"/>
          <w:szCs w:val="20"/>
        </w:rPr>
      </w:pPr>
    </w:p>
    <w:p w14:paraId="1EC9CC69" w14:textId="77777777" w:rsidR="00DD0D6B" w:rsidRDefault="00DD0D6B" w:rsidP="00DD0D6B">
      <w:pPr>
        <w:pStyle w:val="ListParagraph"/>
        <w:numPr>
          <w:ilvl w:val="0"/>
          <w:numId w:val="2"/>
        </w:numPr>
        <w:tabs>
          <w:tab w:val="left" w:pos="720"/>
        </w:tabs>
        <w:spacing w:after="0"/>
        <w:jc w:val="both"/>
        <w:rPr>
          <w:rFonts w:eastAsia="Cambria"/>
          <w:szCs w:val="20"/>
        </w:rPr>
      </w:pPr>
      <w:r w:rsidRPr="00856452">
        <w:rPr>
          <w:rFonts w:eastAsia="Cambria"/>
          <w:szCs w:val="20"/>
        </w:rPr>
        <w:t>Review existing methods for determining turnout probabilities. Too much reliance is currently placed on self-report questions which require respondents to rate how likely they are to vote, with no clear rationale for allocating a turnout probability to the answer choices.</w:t>
      </w:r>
    </w:p>
    <w:p w14:paraId="3EB39B6E" w14:textId="77777777" w:rsidR="00DD0D6B" w:rsidRPr="00856452" w:rsidRDefault="00DD0D6B" w:rsidP="00DD0D6B">
      <w:pPr>
        <w:pStyle w:val="ListParagraph"/>
        <w:jc w:val="both"/>
        <w:rPr>
          <w:rFonts w:eastAsia="Cambria"/>
          <w:szCs w:val="20"/>
        </w:rPr>
      </w:pPr>
    </w:p>
    <w:p w14:paraId="4D8C1644" w14:textId="4DC95F64" w:rsidR="00A32012" w:rsidRDefault="00DD0D6B" w:rsidP="00A32012">
      <w:pPr>
        <w:pStyle w:val="ListParagraph"/>
        <w:numPr>
          <w:ilvl w:val="0"/>
          <w:numId w:val="2"/>
        </w:numPr>
        <w:tabs>
          <w:tab w:val="left" w:pos="720"/>
        </w:tabs>
        <w:spacing w:after="0"/>
        <w:jc w:val="both"/>
        <w:rPr>
          <w:rFonts w:eastAsia="Cambria"/>
          <w:szCs w:val="20"/>
        </w:rPr>
      </w:pPr>
      <w:r w:rsidRPr="00856452">
        <w:rPr>
          <w:rFonts w:eastAsia="Cambria"/>
          <w:szCs w:val="20"/>
        </w:rPr>
        <w:t xml:space="preserve">Review current allocation methods for respondents who say they don’t know, or refuse to disclose which party they intend to vote for. Existing procedures are </w:t>
      </w:r>
      <w:r w:rsidRPr="00856452">
        <w:rPr>
          <w:rFonts w:eastAsia="Cambria"/>
          <w:i/>
          <w:szCs w:val="20"/>
        </w:rPr>
        <w:t>ad hoc</w:t>
      </w:r>
      <w:r w:rsidRPr="00856452">
        <w:rPr>
          <w:rFonts w:eastAsia="Cambria"/>
          <w:szCs w:val="20"/>
        </w:rPr>
        <w:t xml:space="preserve"> and lack a coherent theoretical rationale. Model-based imputation procedures merit consideration as an alternative to current approaches.</w:t>
      </w:r>
    </w:p>
    <w:p w14:paraId="367D296C" w14:textId="77777777" w:rsidR="00A32012" w:rsidRPr="00A32012" w:rsidRDefault="00A32012" w:rsidP="00A32012">
      <w:pPr>
        <w:pStyle w:val="ListParagraph"/>
        <w:rPr>
          <w:rFonts w:eastAsia="Cambria"/>
          <w:szCs w:val="20"/>
        </w:rPr>
      </w:pPr>
    </w:p>
    <w:p w14:paraId="415D61C9" w14:textId="38F3C15E" w:rsidR="00A32012" w:rsidRDefault="00A32012">
      <w:pPr>
        <w:rPr>
          <w:rFonts w:eastAsia="Cambria"/>
          <w:szCs w:val="20"/>
        </w:rPr>
      </w:pPr>
      <w:r>
        <w:rPr>
          <w:rFonts w:eastAsia="Cambria"/>
          <w:szCs w:val="20"/>
        </w:rPr>
        <w:br w:type="page"/>
      </w:r>
    </w:p>
    <w:p w14:paraId="7A4E1274" w14:textId="77777777" w:rsidR="00A32012" w:rsidRPr="00A32012" w:rsidRDefault="00A32012" w:rsidP="00A32012">
      <w:pPr>
        <w:pStyle w:val="ListParagraph"/>
        <w:tabs>
          <w:tab w:val="left" w:pos="720"/>
        </w:tabs>
        <w:spacing w:after="0"/>
        <w:ind w:left="360"/>
        <w:jc w:val="both"/>
        <w:rPr>
          <w:rFonts w:eastAsia="Cambria"/>
          <w:szCs w:val="20"/>
        </w:rPr>
      </w:pPr>
    </w:p>
    <w:p w14:paraId="498BD6A5" w14:textId="77777777" w:rsidR="00DD0D6B" w:rsidRPr="00856452" w:rsidRDefault="00DD0D6B" w:rsidP="00DD0D6B">
      <w:pPr>
        <w:pStyle w:val="ListParagraph"/>
        <w:jc w:val="both"/>
        <w:rPr>
          <w:rFonts w:eastAsia="Cambria"/>
          <w:szCs w:val="20"/>
        </w:rPr>
      </w:pPr>
    </w:p>
    <w:p w14:paraId="14B6487E" w14:textId="77777777" w:rsidR="00DD0D6B" w:rsidRDefault="00DD0D6B" w:rsidP="00DD0D6B">
      <w:pPr>
        <w:pStyle w:val="ListParagraph"/>
        <w:numPr>
          <w:ilvl w:val="0"/>
          <w:numId w:val="1"/>
        </w:numPr>
        <w:tabs>
          <w:tab w:val="left" w:pos="720"/>
        </w:tabs>
        <w:spacing w:after="0"/>
        <w:jc w:val="both"/>
        <w:rPr>
          <w:rFonts w:eastAsia="Cambria"/>
          <w:i/>
          <w:szCs w:val="20"/>
        </w:rPr>
      </w:pPr>
      <w:r w:rsidRPr="00856452">
        <w:rPr>
          <w:rFonts w:eastAsia="Cambria"/>
          <w:i/>
          <w:szCs w:val="20"/>
        </w:rPr>
        <w:t>Representativeness of samples</w:t>
      </w:r>
    </w:p>
    <w:p w14:paraId="3007C75E" w14:textId="77777777" w:rsidR="00DD0D6B" w:rsidRPr="0090746B" w:rsidRDefault="00DD0D6B" w:rsidP="00DD0D6B">
      <w:pPr>
        <w:pStyle w:val="ListParagraph"/>
        <w:tabs>
          <w:tab w:val="left" w:pos="720"/>
        </w:tabs>
        <w:spacing w:after="0"/>
        <w:ind w:left="360"/>
        <w:jc w:val="both"/>
        <w:rPr>
          <w:rFonts w:eastAsia="Cambria"/>
          <w:i/>
          <w:szCs w:val="20"/>
        </w:rPr>
      </w:pPr>
    </w:p>
    <w:p w14:paraId="35782077" w14:textId="77777777" w:rsidR="00DD0D6B" w:rsidRPr="0090746B" w:rsidRDefault="00DD0D6B" w:rsidP="00DD0D6B">
      <w:pPr>
        <w:ind w:left="360"/>
        <w:jc w:val="both"/>
        <w:rPr>
          <w:rFonts w:eastAsia="Cambria"/>
          <w:szCs w:val="20"/>
        </w:rPr>
      </w:pPr>
      <w:bookmarkStart w:id="2" w:name="page79"/>
      <w:bookmarkEnd w:id="2"/>
      <w:r w:rsidRPr="00C5157B">
        <w:rPr>
          <w:rFonts w:eastAsia="Cambria"/>
          <w:szCs w:val="20"/>
        </w:rPr>
        <w:t xml:space="preserve">Due to the </w:t>
      </w:r>
      <w:r>
        <w:rPr>
          <w:rFonts w:eastAsia="Cambria"/>
          <w:szCs w:val="20"/>
        </w:rPr>
        <w:t>high cost of random sampling, the Panel</w:t>
      </w:r>
      <w:r w:rsidRPr="00C5157B">
        <w:rPr>
          <w:rFonts w:eastAsia="Cambria"/>
          <w:szCs w:val="20"/>
        </w:rPr>
        <w:t xml:space="preserve"> expect the vast majority of opinion polls to continue using non-random sampling methods for the foreseeable future. However, continuing with non-random sampling means there are only two broad strategies that can be pursued to improve sample representativeness. Pollsters can take measures to increase the representativeness of respondents recruited to existing quota and weighting cells, or they can incorporate new variables into their quota and weighting schemes which are more related to both the probability of selecting into poll samples </w:t>
      </w:r>
      <w:r w:rsidRPr="00C5157B">
        <w:rPr>
          <w:rFonts w:eastAsia="Cambria"/>
          <w:szCs w:val="20"/>
          <w:u w:val="single"/>
        </w:rPr>
        <w:t>and</w:t>
      </w:r>
      <w:r w:rsidRPr="00C5157B">
        <w:rPr>
          <w:rFonts w:eastAsia="Cambria"/>
          <w:szCs w:val="20"/>
        </w:rPr>
        <w:t xml:space="preserve"> vote intention. These are not mutually exclusive str</w:t>
      </w:r>
      <w:r>
        <w:rPr>
          <w:rFonts w:eastAsia="Cambria"/>
          <w:szCs w:val="20"/>
        </w:rPr>
        <w:t>ategies, both can be pursued. The Panel</w:t>
      </w:r>
      <w:r w:rsidRPr="00C5157B">
        <w:rPr>
          <w:rFonts w:eastAsia="Cambria"/>
          <w:szCs w:val="20"/>
        </w:rPr>
        <w:t xml:space="preserve"> therefore recommend that:</w:t>
      </w:r>
    </w:p>
    <w:p w14:paraId="5C823B5D" w14:textId="77777777" w:rsidR="00DD0D6B" w:rsidRDefault="00DD0D6B" w:rsidP="00DD0D6B">
      <w:pPr>
        <w:pStyle w:val="ListParagraph"/>
        <w:numPr>
          <w:ilvl w:val="0"/>
          <w:numId w:val="2"/>
        </w:numPr>
        <w:tabs>
          <w:tab w:val="left" w:pos="720"/>
        </w:tabs>
        <w:spacing w:after="0"/>
        <w:jc w:val="both"/>
        <w:rPr>
          <w:rFonts w:eastAsia="Cambria"/>
          <w:szCs w:val="20"/>
        </w:rPr>
      </w:pPr>
      <w:r w:rsidRPr="00C5157B">
        <w:rPr>
          <w:rFonts w:eastAsia="Cambria"/>
          <w:szCs w:val="20"/>
        </w:rPr>
        <w:t>Pollsters should take measures to obtain more representative samples within the weighting cells they employ.</w:t>
      </w:r>
    </w:p>
    <w:p w14:paraId="0B2C393A" w14:textId="77777777" w:rsidR="00DD0D6B" w:rsidRPr="00C5157B" w:rsidRDefault="00DD0D6B" w:rsidP="00DD0D6B">
      <w:pPr>
        <w:pStyle w:val="ListParagraph"/>
        <w:tabs>
          <w:tab w:val="left" w:pos="720"/>
        </w:tabs>
        <w:spacing w:after="0"/>
        <w:ind w:left="360"/>
        <w:jc w:val="both"/>
        <w:rPr>
          <w:rFonts w:eastAsia="Cambria"/>
          <w:szCs w:val="20"/>
        </w:rPr>
      </w:pPr>
    </w:p>
    <w:p w14:paraId="3A9C22C3" w14:textId="77777777" w:rsidR="00DD0D6B" w:rsidRDefault="00DD0D6B" w:rsidP="00DD0D6B">
      <w:pPr>
        <w:ind w:left="360"/>
        <w:jc w:val="both"/>
        <w:rPr>
          <w:rFonts w:eastAsia="Cambria"/>
          <w:szCs w:val="20"/>
        </w:rPr>
      </w:pPr>
      <w:r w:rsidRPr="00C5157B">
        <w:rPr>
          <w:rFonts w:eastAsia="Cambria"/>
          <w:szCs w:val="20"/>
        </w:rPr>
        <w:t>The second strategy pollsters can pursue to improve sample representativeness is to modify the variables used to crea</w:t>
      </w:r>
      <w:r>
        <w:rPr>
          <w:rFonts w:eastAsia="Cambria"/>
          <w:szCs w:val="20"/>
        </w:rPr>
        <w:t>te quota and weighting cells. The Panel</w:t>
      </w:r>
      <w:r w:rsidRPr="00C5157B">
        <w:rPr>
          <w:rFonts w:eastAsia="Cambria"/>
          <w:szCs w:val="20"/>
        </w:rPr>
        <w:t xml:space="preserve"> therefore recommend that:</w:t>
      </w:r>
    </w:p>
    <w:p w14:paraId="12EE71A1" w14:textId="77777777" w:rsidR="00DD0D6B" w:rsidRPr="0090746B" w:rsidRDefault="00DD0D6B" w:rsidP="00DD0D6B">
      <w:pPr>
        <w:pStyle w:val="ListParagraph"/>
        <w:numPr>
          <w:ilvl w:val="0"/>
          <w:numId w:val="2"/>
        </w:numPr>
        <w:tabs>
          <w:tab w:val="left" w:pos="720"/>
        </w:tabs>
        <w:spacing w:after="0"/>
        <w:jc w:val="both"/>
        <w:rPr>
          <w:rFonts w:eastAsia="Cambria"/>
          <w:szCs w:val="20"/>
        </w:rPr>
      </w:pPr>
      <w:r w:rsidRPr="0090746B">
        <w:rPr>
          <w:rFonts w:eastAsia="Cambria"/>
          <w:szCs w:val="20"/>
        </w:rPr>
        <w:t>Pollsters should investigate new quota and weighting variables which are correlated with propensity to be observed in the poll sample and vote intention.</w:t>
      </w:r>
    </w:p>
    <w:p w14:paraId="6089D858" w14:textId="77777777" w:rsidR="00DD0D6B" w:rsidRDefault="00DD0D6B" w:rsidP="00DD0D6B">
      <w:pPr>
        <w:pStyle w:val="ListParagraph"/>
        <w:tabs>
          <w:tab w:val="left" w:pos="720"/>
        </w:tabs>
        <w:spacing w:after="0"/>
        <w:ind w:left="360"/>
        <w:jc w:val="both"/>
        <w:rPr>
          <w:rFonts w:eastAsia="Cambria"/>
          <w:szCs w:val="20"/>
        </w:rPr>
      </w:pPr>
    </w:p>
    <w:p w14:paraId="233DA447" w14:textId="77777777" w:rsidR="00DD0D6B" w:rsidRDefault="00DD0D6B" w:rsidP="00DD0D6B">
      <w:pPr>
        <w:pStyle w:val="ListParagraph"/>
        <w:tabs>
          <w:tab w:val="left" w:pos="720"/>
        </w:tabs>
        <w:spacing w:after="0"/>
        <w:ind w:left="360"/>
        <w:jc w:val="both"/>
        <w:rPr>
          <w:rFonts w:eastAsia="Cambria"/>
          <w:szCs w:val="20"/>
        </w:rPr>
      </w:pPr>
      <w:r w:rsidRPr="0090746B">
        <w:rPr>
          <w:rFonts w:eastAsia="Cambria"/>
          <w:szCs w:val="20"/>
        </w:rPr>
        <w:t xml:space="preserve">In the judgement of the Panel the first of these strategies (recommendation 4) is likely to prove more fruitful than the second (recommendation 5). </w:t>
      </w:r>
    </w:p>
    <w:p w14:paraId="0ED3F862" w14:textId="77777777" w:rsidR="00DD0D6B" w:rsidRPr="0090746B" w:rsidRDefault="00DD0D6B" w:rsidP="00DD0D6B">
      <w:pPr>
        <w:pStyle w:val="ListParagraph"/>
        <w:tabs>
          <w:tab w:val="left" w:pos="720"/>
        </w:tabs>
        <w:spacing w:after="0"/>
        <w:ind w:left="360"/>
        <w:jc w:val="both"/>
        <w:rPr>
          <w:rFonts w:eastAsia="Cambria"/>
          <w:szCs w:val="20"/>
        </w:rPr>
      </w:pPr>
    </w:p>
    <w:p w14:paraId="74EC911A" w14:textId="77777777" w:rsidR="00DD0D6B" w:rsidRPr="00C5157B" w:rsidRDefault="00DD0D6B" w:rsidP="00DD0D6B">
      <w:pPr>
        <w:ind w:left="360"/>
        <w:jc w:val="both"/>
        <w:rPr>
          <w:rFonts w:eastAsia="Cambria"/>
          <w:szCs w:val="20"/>
        </w:rPr>
      </w:pPr>
      <w:r w:rsidRPr="00C5157B">
        <w:rPr>
          <w:rFonts w:eastAsia="Cambria"/>
          <w:szCs w:val="20"/>
        </w:rPr>
        <w:t>It is worth noting at this point that, while there was no difference in the error of the final poll estimates between modes of interview, there was a small but systematic tendency for the phone polls to yield somewhat higher estimates of the Conservative vote share throughout most (but not all) of the 2010-2015 parliament, including fo</w:t>
      </w:r>
      <w:r>
        <w:rPr>
          <w:rFonts w:eastAsia="Cambria"/>
          <w:szCs w:val="20"/>
        </w:rPr>
        <w:t>r much of the short campaign. The Panel concluded that</w:t>
      </w:r>
      <w:r w:rsidRPr="00C5157B">
        <w:rPr>
          <w:rFonts w:eastAsia="Cambria"/>
          <w:szCs w:val="20"/>
        </w:rPr>
        <w:t xml:space="preserve"> is not possible to say what the cause of this difference was from t</w:t>
      </w:r>
      <w:r>
        <w:rPr>
          <w:rFonts w:eastAsia="Cambria"/>
          <w:szCs w:val="20"/>
        </w:rPr>
        <w:t>he data that was available to it</w:t>
      </w:r>
      <w:r w:rsidRPr="00C5157B">
        <w:rPr>
          <w:rFonts w:eastAsia="Cambria"/>
          <w:szCs w:val="20"/>
        </w:rPr>
        <w:t>. However, it would not be unreasonable to think that it might be related to the different approaches to sampling of phone and online polls. It is likely that the propensity to be contacted and to agree to an interview request by a phone pollster is somewhat different to that for selecting into an online panel and that these differential propensities might be co</w:t>
      </w:r>
      <w:r>
        <w:rPr>
          <w:rFonts w:eastAsia="Cambria"/>
          <w:szCs w:val="20"/>
        </w:rPr>
        <w:t>rrelated with vote intention. The Panel</w:t>
      </w:r>
      <w:r w:rsidRPr="00C5157B">
        <w:rPr>
          <w:rFonts w:eastAsia="Cambria"/>
          <w:szCs w:val="20"/>
        </w:rPr>
        <w:t xml:space="preserve"> encourage the polling industry to undertake further research into the underlying cause(s) of these variable mode differences.</w:t>
      </w:r>
    </w:p>
    <w:p w14:paraId="328799EB" w14:textId="77777777" w:rsidR="00DD0D6B" w:rsidRPr="00C5157B" w:rsidRDefault="00DD0D6B" w:rsidP="00DD0D6B">
      <w:pPr>
        <w:ind w:left="360"/>
        <w:jc w:val="both"/>
        <w:rPr>
          <w:rFonts w:eastAsia="Cambria"/>
          <w:szCs w:val="20"/>
        </w:rPr>
      </w:pPr>
      <w:r w:rsidRPr="00C5157B">
        <w:rPr>
          <w:rFonts w:eastAsia="Cambria"/>
          <w:szCs w:val="20"/>
        </w:rPr>
        <w:t>Given the high public, commercial, and political interest in the</w:t>
      </w:r>
      <w:r>
        <w:rPr>
          <w:rFonts w:eastAsia="Cambria"/>
          <w:szCs w:val="20"/>
        </w:rPr>
        <w:t xml:space="preserve"> pre-election poll estimates, the Panel</w:t>
      </w:r>
      <w:r w:rsidRPr="00C5157B">
        <w:rPr>
          <w:rFonts w:eastAsia="Cambria"/>
          <w:szCs w:val="20"/>
        </w:rPr>
        <w:t xml:space="preserve"> recommend</w:t>
      </w:r>
      <w:r>
        <w:rPr>
          <w:rFonts w:eastAsia="Cambria"/>
          <w:szCs w:val="20"/>
        </w:rPr>
        <w:t>ed</w:t>
      </w:r>
      <w:r w:rsidRPr="00C5157B">
        <w:rPr>
          <w:rFonts w:eastAsia="Cambria"/>
          <w:szCs w:val="20"/>
        </w:rPr>
        <w:t xml:space="preserve"> that:</w:t>
      </w:r>
    </w:p>
    <w:p w14:paraId="17288F6F" w14:textId="77777777" w:rsidR="00DD0D6B" w:rsidRDefault="00DD0D6B" w:rsidP="00DD0D6B">
      <w:pPr>
        <w:pStyle w:val="ListParagraph"/>
        <w:numPr>
          <w:ilvl w:val="0"/>
          <w:numId w:val="2"/>
        </w:numPr>
        <w:tabs>
          <w:tab w:val="left" w:pos="720"/>
        </w:tabs>
        <w:spacing w:after="0"/>
        <w:jc w:val="both"/>
        <w:rPr>
          <w:rFonts w:eastAsia="Cambria"/>
          <w:szCs w:val="20"/>
        </w:rPr>
      </w:pPr>
      <w:r w:rsidRPr="00C5157B">
        <w:rPr>
          <w:rFonts w:eastAsia="Cambria"/>
          <w:szCs w:val="20"/>
        </w:rPr>
        <w:t>The Economic and Social Research Council (ESRC) should fund a pre as well as a post-election random probability survey as part of the British Election Study in the 2020 election campaign.</w:t>
      </w:r>
    </w:p>
    <w:p w14:paraId="0A135E9C" w14:textId="77777777" w:rsidR="00DD0D6B" w:rsidRPr="00DC0744" w:rsidRDefault="00DD0D6B" w:rsidP="00DD0D6B">
      <w:pPr>
        <w:pStyle w:val="ListParagraph"/>
        <w:tabs>
          <w:tab w:val="left" w:pos="720"/>
        </w:tabs>
        <w:spacing w:after="0"/>
        <w:ind w:left="360"/>
        <w:jc w:val="both"/>
        <w:rPr>
          <w:rFonts w:eastAsia="Cambria"/>
          <w:szCs w:val="20"/>
        </w:rPr>
      </w:pPr>
    </w:p>
    <w:p w14:paraId="24212C83" w14:textId="77777777" w:rsidR="00DD0D6B" w:rsidRDefault="00DD0D6B" w:rsidP="00DD0D6B">
      <w:pPr>
        <w:pStyle w:val="ListParagraph"/>
        <w:numPr>
          <w:ilvl w:val="0"/>
          <w:numId w:val="1"/>
        </w:numPr>
        <w:tabs>
          <w:tab w:val="left" w:pos="720"/>
        </w:tabs>
        <w:spacing w:after="0"/>
        <w:jc w:val="both"/>
        <w:rPr>
          <w:rFonts w:eastAsia="Cambria"/>
          <w:i/>
          <w:szCs w:val="20"/>
        </w:rPr>
      </w:pPr>
      <w:r w:rsidRPr="0090746B">
        <w:rPr>
          <w:rFonts w:eastAsia="Cambria"/>
          <w:i/>
          <w:szCs w:val="20"/>
        </w:rPr>
        <w:t>Weighting and other adjustment processes</w:t>
      </w:r>
    </w:p>
    <w:p w14:paraId="27B56D04" w14:textId="77777777" w:rsidR="00DD0D6B" w:rsidRPr="00B71BF2" w:rsidRDefault="00DD0D6B" w:rsidP="00DD0D6B">
      <w:pPr>
        <w:pStyle w:val="ListParagraph"/>
        <w:tabs>
          <w:tab w:val="left" w:pos="720"/>
        </w:tabs>
        <w:spacing w:after="0"/>
        <w:ind w:left="360"/>
        <w:jc w:val="both"/>
        <w:rPr>
          <w:rFonts w:eastAsia="Cambria"/>
          <w:i/>
          <w:szCs w:val="20"/>
        </w:rPr>
      </w:pPr>
    </w:p>
    <w:p w14:paraId="7623FA9B" w14:textId="77777777" w:rsidR="00DD0D6B" w:rsidRPr="00B71BF2" w:rsidRDefault="00DD0D6B" w:rsidP="00DD0D6B">
      <w:pPr>
        <w:ind w:left="360"/>
        <w:jc w:val="both"/>
        <w:rPr>
          <w:rFonts w:eastAsia="Cambria"/>
          <w:szCs w:val="20"/>
        </w:rPr>
      </w:pPr>
      <w:r>
        <w:rPr>
          <w:rFonts w:eastAsia="Cambria"/>
          <w:szCs w:val="20"/>
        </w:rPr>
        <w:t xml:space="preserve">The Panel noted </w:t>
      </w:r>
      <w:r w:rsidRPr="00C5157B">
        <w:rPr>
          <w:rFonts w:eastAsia="Cambria"/>
          <w:szCs w:val="20"/>
        </w:rPr>
        <w:t>that the BPC members were transparent and cooperative thro</w:t>
      </w:r>
      <w:r>
        <w:rPr>
          <w:rFonts w:eastAsia="Cambria"/>
          <w:szCs w:val="20"/>
        </w:rPr>
        <w:t>ughout the</w:t>
      </w:r>
      <w:r w:rsidRPr="00C5157B">
        <w:rPr>
          <w:rFonts w:eastAsia="Cambria"/>
          <w:szCs w:val="20"/>
        </w:rPr>
        <w:t xml:space="preserve"> inquiry. Nonetheless, the BPC rules of disclosure would benefit from additional </w:t>
      </w:r>
      <w:r w:rsidRPr="00C5157B">
        <w:rPr>
          <w:rFonts w:eastAsia="Cambria"/>
          <w:szCs w:val="20"/>
        </w:rPr>
        <w:lastRenderedPageBreak/>
        <w:t xml:space="preserve">clarity and detail, particularly with regard to weighting and other </w:t>
      </w:r>
      <w:r>
        <w:rPr>
          <w:rFonts w:eastAsia="Cambria"/>
          <w:szCs w:val="20"/>
        </w:rPr>
        <w:t>adjustment procedures. The Panel</w:t>
      </w:r>
      <w:r w:rsidRPr="00C5157B">
        <w:rPr>
          <w:rFonts w:eastAsia="Cambria"/>
          <w:szCs w:val="20"/>
        </w:rPr>
        <w:t xml:space="preserve"> recommend that BPC rules be strengthened to require that BPC members:</w:t>
      </w:r>
    </w:p>
    <w:p w14:paraId="5D520970" w14:textId="77777777" w:rsidR="00DD0D6B" w:rsidRDefault="00DD0D6B" w:rsidP="00DD0D6B">
      <w:pPr>
        <w:pStyle w:val="ListParagraph"/>
        <w:numPr>
          <w:ilvl w:val="0"/>
          <w:numId w:val="2"/>
        </w:numPr>
        <w:tabs>
          <w:tab w:val="left" w:pos="720"/>
        </w:tabs>
        <w:spacing w:after="0"/>
        <w:jc w:val="both"/>
        <w:rPr>
          <w:rFonts w:eastAsia="Cambria"/>
          <w:szCs w:val="20"/>
        </w:rPr>
      </w:pPr>
      <w:r w:rsidRPr="00C5157B">
        <w:rPr>
          <w:rFonts w:eastAsia="Cambria"/>
          <w:szCs w:val="20"/>
        </w:rPr>
        <w:t>State explicitly which variables were used to weight the data, including the population totals weighted to and the source of the population totals.</w:t>
      </w:r>
    </w:p>
    <w:p w14:paraId="2F40F4B7" w14:textId="77777777" w:rsidR="00DD0D6B" w:rsidRPr="00C5157B" w:rsidRDefault="00DD0D6B" w:rsidP="00DD0D6B">
      <w:pPr>
        <w:tabs>
          <w:tab w:val="left" w:pos="840"/>
        </w:tabs>
        <w:spacing w:after="0"/>
        <w:ind w:left="840" w:right="20"/>
        <w:jc w:val="both"/>
        <w:rPr>
          <w:rFonts w:eastAsia="Cambria"/>
          <w:szCs w:val="20"/>
        </w:rPr>
      </w:pPr>
    </w:p>
    <w:p w14:paraId="69F8E0F4" w14:textId="77777777" w:rsidR="00DD0D6B" w:rsidRDefault="00DD0D6B" w:rsidP="00DD0D6B">
      <w:pPr>
        <w:pStyle w:val="ListParagraph"/>
        <w:numPr>
          <w:ilvl w:val="0"/>
          <w:numId w:val="2"/>
        </w:numPr>
        <w:tabs>
          <w:tab w:val="left" w:pos="720"/>
        </w:tabs>
        <w:spacing w:after="0"/>
        <w:jc w:val="both"/>
        <w:rPr>
          <w:rFonts w:eastAsia="Cambria"/>
          <w:szCs w:val="20"/>
        </w:rPr>
      </w:pPr>
      <w:r w:rsidRPr="00C5157B">
        <w:rPr>
          <w:rFonts w:eastAsia="Cambria"/>
          <w:szCs w:val="20"/>
        </w:rPr>
        <w:t>Clearly indicate where changes have been made to the statistical adjustment procedures applied to the raw data since the previous published poll. This should include any changes to sample weighting, turnout weighting, and the treatment of Don’t Knows and Refusals.</w:t>
      </w:r>
    </w:p>
    <w:p w14:paraId="0BDACDA1" w14:textId="77777777" w:rsidR="00DD0D6B" w:rsidRPr="00B71BF2" w:rsidRDefault="00DD0D6B" w:rsidP="00DD0D6B">
      <w:pPr>
        <w:tabs>
          <w:tab w:val="left" w:pos="840"/>
        </w:tabs>
        <w:spacing w:after="0"/>
        <w:ind w:right="360"/>
        <w:jc w:val="both"/>
        <w:rPr>
          <w:rFonts w:eastAsia="Cambria"/>
          <w:szCs w:val="20"/>
        </w:rPr>
      </w:pPr>
    </w:p>
    <w:p w14:paraId="640F5CEC" w14:textId="77777777" w:rsidR="00DD0D6B" w:rsidRDefault="00DD0D6B" w:rsidP="00DD0D6B">
      <w:pPr>
        <w:pStyle w:val="ListParagraph"/>
        <w:numPr>
          <w:ilvl w:val="0"/>
          <w:numId w:val="2"/>
        </w:numPr>
        <w:tabs>
          <w:tab w:val="left" w:pos="720"/>
        </w:tabs>
        <w:spacing w:after="0"/>
        <w:jc w:val="both"/>
        <w:rPr>
          <w:rFonts w:eastAsia="Cambria"/>
          <w:szCs w:val="20"/>
        </w:rPr>
      </w:pPr>
      <w:r w:rsidRPr="00C5157B">
        <w:rPr>
          <w:rFonts w:eastAsia="Cambria"/>
          <w:szCs w:val="20"/>
        </w:rPr>
        <w:t>Commit, as a condition of membership, to releasing anonymised poll micro-data at the request of the BPC management committee to the</w:t>
      </w:r>
      <w:r>
        <w:rPr>
          <w:rFonts w:eastAsia="Cambria"/>
          <w:szCs w:val="20"/>
        </w:rPr>
        <w:t xml:space="preserve"> </w:t>
      </w:r>
      <w:r w:rsidRPr="00B71BF2">
        <w:rPr>
          <w:rFonts w:eastAsia="Cambria"/>
          <w:szCs w:val="20"/>
        </w:rPr>
        <w:t>Disclosure Sub Committee and any external agents that it appoints. Computer tables of estimates and the adjustment procedures that were used to produce them should be recorded in a prominent, stable and readily accessible location on the internet. This is important to ensure transparency over the full election cycle, as well a</w:t>
      </w:r>
      <w:r>
        <w:rPr>
          <w:rFonts w:eastAsia="Cambria"/>
          <w:szCs w:val="20"/>
        </w:rPr>
        <w:t xml:space="preserve">s during the short campaign. The Panel </w:t>
      </w:r>
      <w:r w:rsidRPr="00B71BF2">
        <w:rPr>
          <w:rFonts w:eastAsia="Cambria"/>
          <w:szCs w:val="20"/>
        </w:rPr>
        <w:t>note that some of the</w:t>
      </w:r>
      <w:bookmarkStart w:id="3" w:name="page83"/>
      <w:bookmarkEnd w:id="3"/>
      <w:r>
        <w:rPr>
          <w:rFonts w:eastAsia="Cambria"/>
          <w:szCs w:val="20"/>
        </w:rPr>
        <w:t xml:space="preserve"> </w:t>
      </w:r>
      <w:r w:rsidRPr="00B71BF2">
        <w:rPr>
          <w:rFonts w:eastAsia="Cambria"/>
          <w:szCs w:val="20"/>
        </w:rPr>
        <w:t>computer tables for polls conducted between 2010 and 2015 are now no longer available at the URL where they were originally posted.</w:t>
      </w:r>
    </w:p>
    <w:p w14:paraId="3C6CB5DB" w14:textId="77777777" w:rsidR="00DD0D6B" w:rsidRPr="00B71BF2" w:rsidRDefault="00DD0D6B" w:rsidP="00DD0D6B">
      <w:pPr>
        <w:tabs>
          <w:tab w:val="left" w:pos="720"/>
        </w:tabs>
        <w:spacing w:after="0"/>
        <w:jc w:val="both"/>
        <w:rPr>
          <w:rFonts w:eastAsia="Cambria"/>
          <w:szCs w:val="20"/>
        </w:rPr>
      </w:pPr>
    </w:p>
    <w:p w14:paraId="31897085" w14:textId="77777777" w:rsidR="00DD0D6B" w:rsidRDefault="00DD0D6B" w:rsidP="00DD0D6B">
      <w:pPr>
        <w:pStyle w:val="ListParagraph"/>
        <w:numPr>
          <w:ilvl w:val="0"/>
          <w:numId w:val="1"/>
        </w:numPr>
        <w:tabs>
          <w:tab w:val="left" w:pos="720"/>
        </w:tabs>
        <w:spacing w:after="0"/>
        <w:jc w:val="both"/>
        <w:rPr>
          <w:rFonts w:eastAsia="Cambria"/>
          <w:i/>
          <w:szCs w:val="20"/>
        </w:rPr>
      </w:pPr>
      <w:r w:rsidRPr="00B71BF2">
        <w:rPr>
          <w:rFonts w:eastAsia="Cambria"/>
          <w:i/>
          <w:szCs w:val="20"/>
        </w:rPr>
        <w:t>Herding</w:t>
      </w:r>
    </w:p>
    <w:p w14:paraId="00AE6F9E" w14:textId="77777777" w:rsidR="00DD0D6B" w:rsidRPr="00B71BF2" w:rsidRDefault="00DD0D6B" w:rsidP="00DD0D6B">
      <w:pPr>
        <w:pStyle w:val="ListParagraph"/>
        <w:tabs>
          <w:tab w:val="left" w:pos="720"/>
        </w:tabs>
        <w:spacing w:after="0"/>
        <w:ind w:left="360"/>
        <w:jc w:val="both"/>
        <w:rPr>
          <w:rFonts w:eastAsia="Cambria"/>
          <w:i/>
          <w:szCs w:val="20"/>
        </w:rPr>
      </w:pPr>
    </w:p>
    <w:p w14:paraId="3EFCB6F2" w14:textId="120BDC83" w:rsidR="00DD0D6B" w:rsidRDefault="00DD0D6B" w:rsidP="00DD0D6B">
      <w:pPr>
        <w:ind w:left="360"/>
        <w:jc w:val="both"/>
        <w:rPr>
          <w:rFonts w:eastAsia="Cambria"/>
          <w:szCs w:val="20"/>
        </w:rPr>
      </w:pPr>
      <w:r w:rsidRPr="00C5157B">
        <w:rPr>
          <w:rFonts w:eastAsia="Cambria"/>
          <w:szCs w:val="20"/>
        </w:rPr>
        <w:t xml:space="preserve">Several commentators noted the surprising degree of consensus in the final poll estimates, with all nine BPC members showing a difference of zero or only one percentage point between </w:t>
      </w:r>
      <w:r>
        <w:rPr>
          <w:rFonts w:eastAsia="Cambria"/>
          <w:szCs w:val="20"/>
        </w:rPr>
        <w:t>the Conservatives and Labour. The Panel</w:t>
      </w:r>
      <w:r w:rsidRPr="00C5157B">
        <w:rPr>
          <w:rFonts w:eastAsia="Cambria"/>
          <w:szCs w:val="20"/>
        </w:rPr>
        <w:t xml:space="preserve"> investigated whether there this was due to ‘herding’, which is where pollsters make design and reporting decisions that cause published estimates to vary less than expected, given their sample sizes.</w:t>
      </w:r>
      <w:r>
        <w:rPr>
          <w:rFonts w:eastAsia="Cambria"/>
          <w:szCs w:val="20"/>
        </w:rPr>
        <w:t xml:space="preserve"> The Panel’s</w:t>
      </w:r>
      <w:r w:rsidRPr="00C5157B">
        <w:rPr>
          <w:rFonts w:eastAsia="Cambria"/>
          <w:szCs w:val="20"/>
        </w:rPr>
        <w:t xml:space="preserve"> analyses showed that the decrease in the variance on the estimate of the Conservative lead in the final week of the campaign</w:t>
      </w:r>
      <w:r>
        <w:rPr>
          <w:rFonts w:eastAsia="Cambria"/>
          <w:szCs w:val="20"/>
        </w:rPr>
        <w:t xml:space="preserve"> is consistent with herding. The Panel’s</w:t>
      </w:r>
      <w:r w:rsidRPr="00C5157B">
        <w:rPr>
          <w:rFonts w:eastAsia="Cambria"/>
          <w:szCs w:val="20"/>
        </w:rPr>
        <w:t xml:space="preserve"> interpretation is that this convergence was not a result of deliberate collusion, or other forms of malpractice by the pollsters. In fact, it is likely to have emerged as a result of pollsters individually trying their best to produce the most accurate estimate by implementing idiosyncratic adjustment pro</w:t>
      </w:r>
      <w:r w:rsidR="006464EF">
        <w:rPr>
          <w:rFonts w:eastAsia="Cambria"/>
          <w:szCs w:val="20"/>
        </w:rPr>
        <w:t>cedures. Ultimately, however, the Inquiry are</w:t>
      </w:r>
      <w:r w:rsidRPr="00C5157B">
        <w:rPr>
          <w:rFonts w:eastAsia="Cambria"/>
          <w:szCs w:val="20"/>
        </w:rPr>
        <w:t xml:space="preserve"> not able to determine the exact cause of the convergence in estimates during the final days of the campaign. Convergence in poll estimates can occur for reasons entirely unconnected with the behaviour of the pollsters. </w:t>
      </w:r>
    </w:p>
    <w:p w14:paraId="000344C0" w14:textId="77777777" w:rsidR="00DD0D6B" w:rsidRPr="00B71BF2" w:rsidRDefault="00DD0D6B" w:rsidP="00DD0D6B">
      <w:pPr>
        <w:ind w:left="360"/>
        <w:jc w:val="both"/>
        <w:rPr>
          <w:rFonts w:eastAsia="Cambria"/>
          <w:szCs w:val="20"/>
        </w:rPr>
      </w:pPr>
      <w:r w:rsidRPr="00C5157B">
        <w:rPr>
          <w:rFonts w:eastAsia="Cambria"/>
          <w:szCs w:val="20"/>
        </w:rPr>
        <w:t>To make it easier to rule out herding as a cause of con</w:t>
      </w:r>
      <w:r>
        <w:rPr>
          <w:rFonts w:eastAsia="Cambria"/>
          <w:szCs w:val="20"/>
        </w:rPr>
        <w:t>vergence at future elections, the Panel</w:t>
      </w:r>
      <w:r w:rsidRPr="00C5157B">
        <w:rPr>
          <w:rFonts w:eastAsia="Cambria"/>
          <w:szCs w:val="20"/>
        </w:rPr>
        <w:t xml:space="preserve"> recommend that BPC rules should require members to:</w:t>
      </w:r>
    </w:p>
    <w:p w14:paraId="187128BC" w14:textId="77777777" w:rsidR="00DD0D6B" w:rsidRDefault="00DD0D6B" w:rsidP="00DD0D6B">
      <w:pPr>
        <w:pStyle w:val="ListParagraph"/>
        <w:numPr>
          <w:ilvl w:val="0"/>
          <w:numId w:val="2"/>
        </w:numPr>
        <w:tabs>
          <w:tab w:val="left" w:pos="720"/>
        </w:tabs>
        <w:spacing w:after="0"/>
        <w:jc w:val="both"/>
        <w:rPr>
          <w:rFonts w:eastAsia="Cambria"/>
          <w:szCs w:val="20"/>
        </w:rPr>
      </w:pPr>
      <w:r>
        <w:rPr>
          <w:rFonts w:eastAsia="Cambria"/>
          <w:szCs w:val="20"/>
        </w:rPr>
        <w:t>P</w:t>
      </w:r>
      <w:r w:rsidRPr="00C5157B">
        <w:rPr>
          <w:rFonts w:eastAsia="Cambria"/>
          <w:szCs w:val="20"/>
        </w:rPr>
        <w:t>re-register vote intention polls with the BPC prior to the commencement of fieldwork. This should include basic information about the survey design such as mode of interview, intended sample size, quota and weighting targets, and fieldwork dates.</w:t>
      </w:r>
    </w:p>
    <w:p w14:paraId="48346381" w14:textId="77777777" w:rsidR="00DD0D6B" w:rsidRPr="00DC0744" w:rsidRDefault="00DD0D6B" w:rsidP="00DD0D6B">
      <w:pPr>
        <w:pStyle w:val="ListParagraph"/>
        <w:tabs>
          <w:tab w:val="left" w:pos="720"/>
        </w:tabs>
        <w:spacing w:after="0"/>
        <w:ind w:left="360"/>
        <w:jc w:val="both"/>
        <w:rPr>
          <w:rFonts w:eastAsia="Cambria"/>
          <w:szCs w:val="20"/>
        </w:rPr>
      </w:pPr>
    </w:p>
    <w:p w14:paraId="1CDA1DCD" w14:textId="77777777" w:rsidR="00DD0D6B" w:rsidRDefault="00DD0D6B" w:rsidP="00DD0D6B">
      <w:pPr>
        <w:ind w:left="360"/>
        <w:jc w:val="both"/>
        <w:rPr>
          <w:rFonts w:eastAsia="Cambria"/>
          <w:szCs w:val="20"/>
        </w:rPr>
      </w:pPr>
      <w:r w:rsidRPr="00C5157B">
        <w:rPr>
          <w:rFonts w:eastAsia="Cambria"/>
          <w:szCs w:val="20"/>
        </w:rPr>
        <w:t>Pre-registration of vote intention polls does not mean herding cannot happen in the future. However, it would provide a record that could subsequently demonstrate that poll suppression, applying stopping rules on sample size, and arbitrary changes to adjustment procedures had not occurred.</w:t>
      </w:r>
    </w:p>
    <w:p w14:paraId="2026EE25" w14:textId="77777777" w:rsidR="00A32012" w:rsidRDefault="00A32012" w:rsidP="00DD0D6B">
      <w:pPr>
        <w:ind w:left="360"/>
        <w:jc w:val="both"/>
        <w:rPr>
          <w:rFonts w:eastAsia="Cambria"/>
          <w:szCs w:val="20"/>
        </w:rPr>
      </w:pPr>
    </w:p>
    <w:p w14:paraId="76B5F9AA" w14:textId="77777777" w:rsidR="00DD0D6B" w:rsidRPr="00126523" w:rsidRDefault="00DD0D6B" w:rsidP="00DD0D6B">
      <w:pPr>
        <w:pStyle w:val="ListParagraph"/>
        <w:numPr>
          <w:ilvl w:val="0"/>
          <w:numId w:val="1"/>
        </w:numPr>
        <w:tabs>
          <w:tab w:val="left" w:pos="720"/>
        </w:tabs>
        <w:spacing w:after="0"/>
        <w:jc w:val="both"/>
        <w:rPr>
          <w:rFonts w:eastAsia="Cambria"/>
          <w:i/>
          <w:szCs w:val="20"/>
        </w:rPr>
      </w:pPr>
      <w:r w:rsidRPr="00126523">
        <w:rPr>
          <w:rFonts w:eastAsia="Cambria"/>
          <w:i/>
          <w:szCs w:val="20"/>
        </w:rPr>
        <w:t>Reporting of results</w:t>
      </w:r>
    </w:p>
    <w:p w14:paraId="3E37F7CD" w14:textId="77777777" w:rsidR="00DD0D6B" w:rsidRPr="00C5157B" w:rsidRDefault="00DD0D6B" w:rsidP="00DD0D6B">
      <w:pPr>
        <w:pStyle w:val="ListParagraph"/>
        <w:tabs>
          <w:tab w:val="left" w:pos="720"/>
        </w:tabs>
        <w:spacing w:after="0"/>
        <w:ind w:left="360"/>
        <w:jc w:val="both"/>
        <w:rPr>
          <w:rFonts w:eastAsia="Cambria"/>
          <w:szCs w:val="20"/>
        </w:rPr>
      </w:pPr>
    </w:p>
    <w:p w14:paraId="042A55DC" w14:textId="77777777" w:rsidR="00DD0D6B" w:rsidRPr="00126523" w:rsidRDefault="00DD0D6B" w:rsidP="00DD0D6B">
      <w:pPr>
        <w:ind w:left="360"/>
        <w:jc w:val="both"/>
        <w:rPr>
          <w:rFonts w:eastAsia="Cambria"/>
          <w:szCs w:val="20"/>
        </w:rPr>
      </w:pPr>
      <w:r w:rsidRPr="00C5157B">
        <w:rPr>
          <w:rFonts w:eastAsia="Cambria"/>
          <w:szCs w:val="20"/>
        </w:rPr>
        <w:t xml:space="preserve">The inquiry </w:t>
      </w:r>
      <w:r>
        <w:rPr>
          <w:rFonts w:eastAsia="Cambria"/>
          <w:szCs w:val="20"/>
        </w:rPr>
        <w:t xml:space="preserve">Panel </w:t>
      </w:r>
      <w:r w:rsidRPr="00C5157B">
        <w:rPr>
          <w:rFonts w:eastAsia="Cambria"/>
          <w:szCs w:val="20"/>
        </w:rPr>
        <w:t xml:space="preserve">was also tasked with assessing whether uncertainty in poll estimates is adequately communicated to </w:t>
      </w:r>
      <w:r>
        <w:rPr>
          <w:rFonts w:eastAsia="Cambria"/>
          <w:szCs w:val="20"/>
        </w:rPr>
        <w:t>stakeholders and the public. The Panel’s</w:t>
      </w:r>
      <w:r w:rsidRPr="00C5157B">
        <w:rPr>
          <w:rFonts w:eastAsia="Cambria"/>
          <w:szCs w:val="20"/>
        </w:rPr>
        <w:t xml:space="preserve"> conclusion is that it is not. Media commentators generally use a rule of thumb that point estimates of party shares have a margin of error of + or - three percentage points. This is (or appears to be) based on the calculation of a 95% confidence interval for a simple random sample of 1000 respondents for a party with 50% of the vote. But polls are not simple random samples, parties are typically far from 50% of the vote, and when the full sample is 1000 the number of respondents used for estimating party shares is much less than this number. For these reasons, the true margin of error will usually be different from + or – 3 per cent, sometimes larger and sometimes smaller, depending on the specifics of the research design. Pollsters should therefore aid the interpretation of their findings by providing media clients with confidence intervals that better reflect the research design than is currently the case.</w:t>
      </w:r>
    </w:p>
    <w:p w14:paraId="672C78FD" w14:textId="77777777" w:rsidR="00DD0D6B" w:rsidRPr="00B23058" w:rsidRDefault="00DD0D6B" w:rsidP="00DD0D6B">
      <w:pPr>
        <w:ind w:left="360"/>
        <w:jc w:val="both"/>
        <w:rPr>
          <w:rFonts w:eastAsia="Cambria"/>
          <w:szCs w:val="20"/>
        </w:rPr>
      </w:pPr>
      <w:r w:rsidRPr="00C5157B">
        <w:rPr>
          <w:rFonts w:eastAsia="Cambria"/>
          <w:szCs w:val="20"/>
        </w:rPr>
        <w:t>The confidence intervals and information about how they were calculated should be published with the computer tables required by the BPC rules. BPC members should also provide a confidence interval for the difference between the top two party vote shares, and for the difference between any other parties where there is public interest in the direction and size o</w:t>
      </w:r>
      <w:r>
        <w:rPr>
          <w:rFonts w:eastAsia="Cambria"/>
          <w:szCs w:val="20"/>
        </w:rPr>
        <w:t>f the difference. In summary, the Panel</w:t>
      </w:r>
      <w:r w:rsidRPr="00C5157B">
        <w:rPr>
          <w:rFonts w:eastAsia="Cambria"/>
          <w:szCs w:val="20"/>
        </w:rPr>
        <w:t xml:space="preserve"> recommend</w:t>
      </w:r>
      <w:r>
        <w:rPr>
          <w:rFonts w:eastAsia="Cambria"/>
          <w:szCs w:val="20"/>
        </w:rPr>
        <w:t>s</w:t>
      </w:r>
      <w:r w:rsidRPr="00C5157B">
        <w:rPr>
          <w:rFonts w:eastAsia="Cambria"/>
          <w:szCs w:val="20"/>
        </w:rPr>
        <w:t xml:space="preserve"> that:</w:t>
      </w:r>
    </w:p>
    <w:p w14:paraId="302A7839" w14:textId="77777777" w:rsidR="00DD0D6B" w:rsidRDefault="00DD0D6B" w:rsidP="00DD0D6B">
      <w:pPr>
        <w:pStyle w:val="ListParagraph"/>
        <w:numPr>
          <w:ilvl w:val="0"/>
          <w:numId w:val="2"/>
        </w:numPr>
        <w:tabs>
          <w:tab w:val="left" w:pos="720"/>
        </w:tabs>
        <w:spacing w:after="0"/>
        <w:jc w:val="both"/>
        <w:rPr>
          <w:rFonts w:eastAsia="Cambria"/>
          <w:szCs w:val="20"/>
        </w:rPr>
      </w:pPr>
      <w:r w:rsidRPr="00C5157B">
        <w:rPr>
          <w:rFonts w:eastAsia="Cambria"/>
          <w:szCs w:val="20"/>
        </w:rPr>
        <w:t>BPC members should provide confidence (or credible) intervals for each separately listed party in their headline share of the vote.</w:t>
      </w:r>
    </w:p>
    <w:p w14:paraId="6852F547" w14:textId="77777777" w:rsidR="00DD0D6B" w:rsidRPr="00C5157B" w:rsidRDefault="00DD0D6B" w:rsidP="00DD0D6B">
      <w:pPr>
        <w:pStyle w:val="ListParagraph"/>
        <w:tabs>
          <w:tab w:val="left" w:pos="720"/>
        </w:tabs>
        <w:spacing w:after="0"/>
        <w:ind w:left="360"/>
        <w:jc w:val="both"/>
        <w:rPr>
          <w:rFonts w:eastAsia="Cambria"/>
          <w:szCs w:val="20"/>
        </w:rPr>
      </w:pPr>
    </w:p>
    <w:p w14:paraId="51988513" w14:textId="77777777" w:rsidR="00DD0D6B" w:rsidRDefault="00DD0D6B" w:rsidP="00DD0D6B">
      <w:pPr>
        <w:pStyle w:val="ListParagraph"/>
        <w:numPr>
          <w:ilvl w:val="0"/>
          <w:numId w:val="2"/>
        </w:numPr>
        <w:tabs>
          <w:tab w:val="left" w:pos="720"/>
        </w:tabs>
        <w:spacing w:after="0"/>
        <w:jc w:val="both"/>
        <w:rPr>
          <w:rFonts w:eastAsia="Cambria"/>
          <w:szCs w:val="20"/>
        </w:rPr>
      </w:pPr>
      <w:r w:rsidRPr="00C5157B">
        <w:rPr>
          <w:rFonts w:eastAsia="Cambria"/>
          <w:szCs w:val="20"/>
        </w:rPr>
        <w:t>BPC members should provide statistical significance tests for changes in vote share for all listed parties compared to their last published poll.</w:t>
      </w:r>
    </w:p>
    <w:p w14:paraId="63361366" w14:textId="77777777" w:rsidR="00DD0D6B" w:rsidRPr="00B23058" w:rsidRDefault="00DD0D6B" w:rsidP="00DD0D6B">
      <w:pPr>
        <w:tabs>
          <w:tab w:val="left" w:pos="720"/>
        </w:tabs>
        <w:spacing w:after="0"/>
        <w:jc w:val="both"/>
        <w:rPr>
          <w:rFonts w:eastAsia="Cambria"/>
          <w:szCs w:val="20"/>
        </w:rPr>
      </w:pPr>
    </w:p>
    <w:p w14:paraId="2C9326AB" w14:textId="77777777" w:rsidR="00DD0D6B" w:rsidRPr="00126523" w:rsidRDefault="00DD0D6B" w:rsidP="00DD0D6B">
      <w:pPr>
        <w:jc w:val="both"/>
        <w:rPr>
          <w:rFonts w:eastAsia="Cambria"/>
          <w:b/>
          <w:szCs w:val="20"/>
          <w:u w:val="single"/>
        </w:rPr>
      </w:pPr>
      <w:r w:rsidRPr="00126523">
        <w:rPr>
          <w:rFonts w:eastAsia="Cambria"/>
          <w:b/>
          <w:szCs w:val="20"/>
          <w:u w:val="single"/>
        </w:rPr>
        <w:t xml:space="preserve">Panels’ view on </w:t>
      </w:r>
      <w:r>
        <w:rPr>
          <w:rFonts w:eastAsia="Cambria"/>
          <w:b/>
          <w:szCs w:val="20"/>
          <w:u w:val="single"/>
        </w:rPr>
        <w:t xml:space="preserve">future </w:t>
      </w:r>
      <w:r w:rsidRPr="00126523">
        <w:rPr>
          <w:rFonts w:eastAsia="Cambria"/>
          <w:b/>
          <w:szCs w:val="20"/>
          <w:u w:val="single"/>
        </w:rPr>
        <w:t>use of polling for elections</w:t>
      </w:r>
    </w:p>
    <w:p w14:paraId="243F3634" w14:textId="77777777" w:rsidR="00DD0D6B" w:rsidRPr="00DC0744" w:rsidRDefault="00DD0D6B" w:rsidP="00DD0D6B">
      <w:pPr>
        <w:jc w:val="both"/>
        <w:rPr>
          <w:rFonts w:eastAsia="Cambria"/>
          <w:szCs w:val="20"/>
        </w:rPr>
      </w:pPr>
      <w:r w:rsidRPr="00C5157B">
        <w:rPr>
          <w:rFonts w:eastAsia="Cambria"/>
          <w:szCs w:val="20"/>
        </w:rPr>
        <w:t>Despite its limitations, polling remains the most accurate means of estimating vote shares in elections and this is likely to remain the case for the foreseeable future. While polls rarely get the party shares exactly right and are sometimes off by quite substantial margins, they are considerably more accurate than an</w:t>
      </w:r>
      <w:r>
        <w:rPr>
          <w:rFonts w:eastAsia="Cambria"/>
          <w:szCs w:val="20"/>
        </w:rPr>
        <w:t xml:space="preserve">y of the existing alternatives. </w:t>
      </w:r>
      <w:r w:rsidRPr="00C5157B">
        <w:rPr>
          <w:rFonts w:eastAsia="Cambria"/>
          <w:szCs w:val="20"/>
        </w:rPr>
        <w:t>Yet, it must be better acknowledged that accurately predicting vote shares in an election is a very challenging task. A representative sample of the general population must be obtained and accurate reports of party choice elicited from respondents. An approximately accurate method of determining how likely respondents are to cast a vote must be implemented and the sample of voters must not change their minds between taking part in the poll and casting their ballots. What is more, the entire procedure must usually be carried out and reported on within a very short space of time and at very low cost. Given these many potential pitfalls, it should not be terribly surprising that the historical record shows polling errors of the approximate magnitude of 2015 occur at not infrequent intervals.</w:t>
      </w:r>
    </w:p>
    <w:p w14:paraId="280F38B1" w14:textId="77777777" w:rsidR="00DD0D6B" w:rsidRPr="00C5157B" w:rsidRDefault="00DD0D6B" w:rsidP="00DD0D6B">
      <w:pPr>
        <w:jc w:val="both"/>
        <w:rPr>
          <w:rFonts w:eastAsia="Cambria"/>
          <w:szCs w:val="20"/>
        </w:rPr>
      </w:pPr>
      <w:bookmarkStart w:id="4" w:name="page86"/>
      <w:bookmarkEnd w:id="4"/>
      <w:r w:rsidRPr="00C5157B">
        <w:rPr>
          <w:rFonts w:eastAsia="Cambria"/>
          <w:szCs w:val="20"/>
        </w:rPr>
        <w:t>S</w:t>
      </w:r>
      <w:r>
        <w:rPr>
          <w:rFonts w:eastAsia="Cambria"/>
          <w:szCs w:val="20"/>
        </w:rPr>
        <w:t>ome of the recommendations the Panel have set out in its</w:t>
      </w:r>
      <w:r w:rsidRPr="00C5157B">
        <w:rPr>
          <w:rFonts w:eastAsia="Cambria"/>
          <w:szCs w:val="20"/>
        </w:rPr>
        <w:t xml:space="preserve"> report are likely, if implemented, to result in a lower volume of polls bei</w:t>
      </w:r>
      <w:r>
        <w:rPr>
          <w:rFonts w:eastAsia="Cambria"/>
          <w:szCs w:val="20"/>
        </w:rPr>
        <w:t>ng carried out in the future. The Panel</w:t>
      </w:r>
      <w:r w:rsidRPr="00C5157B">
        <w:rPr>
          <w:rFonts w:eastAsia="Cambria"/>
          <w:szCs w:val="20"/>
        </w:rPr>
        <w:t xml:space="preserve"> remarked that it would be a positive development if a reduced frequency of polling were mirrored by a corresponding improvement in quality. In survey and opinion research, as in many areas of life, cost and quality are related, if not quite in lock-step. Yet spending </w:t>
      </w:r>
      <w:r w:rsidRPr="00C5157B">
        <w:rPr>
          <w:rFonts w:eastAsia="Cambria"/>
          <w:szCs w:val="20"/>
        </w:rPr>
        <w:lastRenderedPageBreak/>
        <w:t xml:space="preserve">more on opinion polls will be no </w:t>
      </w:r>
      <w:r w:rsidRPr="00DC0744">
        <w:rPr>
          <w:rFonts w:eastAsia="Cambria"/>
          <w:szCs w:val="20"/>
        </w:rPr>
        <w:t xml:space="preserve">guarantee </w:t>
      </w:r>
      <w:r w:rsidRPr="00C5157B">
        <w:rPr>
          <w:rFonts w:eastAsia="Cambria"/>
          <w:szCs w:val="20"/>
        </w:rPr>
        <w:t>of accuracy. Indeed, one of the best legacies would be for it to effect a more realistic understanding amongst stakeholders of the limits of sample based research to predict the future behaviour of complex, dynamic, and reflexive populations.</w:t>
      </w:r>
    </w:p>
    <w:p w14:paraId="6AFEA2EF" w14:textId="77777777" w:rsidR="00DD0D6B" w:rsidRPr="00C5157B" w:rsidRDefault="00DD0D6B" w:rsidP="00DD0D6B">
      <w:pPr>
        <w:jc w:val="both"/>
        <w:rPr>
          <w:rFonts w:eastAsia="Cambria"/>
          <w:szCs w:val="20"/>
        </w:rPr>
      </w:pPr>
      <w:r w:rsidRPr="00C5157B">
        <w:rPr>
          <w:rFonts w:eastAsia="Cambria"/>
          <w:szCs w:val="20"/>
        </w:rPr>
        <w:t xml:space="preserve">It is worth reflecting, in this context, on the fact that the 2015 British Election Study face-to-face survey was carried out over a period of several months </w:t>
      </w:r>
      <w:r w:rsidRPr="00DC0744">
        <w:rPr>
          <w:rFonts w:eastAsia="Cambria"/>
          <w:szCs w:val="20"/>
        </w:rPr>
        <w:t>after</w:t>
      </w:r>
      <w:r w:rsidRPr="00C5157B">
        <w:rPr>
          <w:rFonts w:eastAsia="Cambria"/>
          <w:szCs w:val="20"/>
        </w:rPr>
        <w:t xml:space="preserve"> the election, used the highest quality methods at all stages and came with a price tag that reflected this. Yet it still managed to over-estimate the Conservative and under-estimate the UKIP vote shares by statistically significant margins. This </w:t>
      </w:r>
      <w:r>
        <w:rPr>
          <w:rFonts w:eastAsia="Cambria"/>
          <w:szCs w:val="20"/>
        </w:rPr>
        <w:t xml:space="preserve">indicates </w:t>
      </w:r>
      <w:r w:rsidRPr="00C5157B">
        <w:rPr>
          <w:rFonts w:eastAsia="Cambria"/>
          <w:szCs w:val="20"/>
        </w:rPr>
        <w:t>that there will be no silver bullet to the problem of polling errors.</w:t>
      </w:r>
    </w:p>
    <w:p w14:paraId="45BD9359" w14:textId="77777777" w:rsidR="00DD0D6B" w:rsidRDefault="00DD0D6B" w:rsidP="00DD0D6B">
      <w:pPr>
        <w:jc w:val="both"/>
        <w:rPr>
          <w:rFonts w:eastAsia="Cambria"/>
          <w:b/>
          <w:szCs w:val="20"/>
          <w:u w:val="single"/>
        </w:rPr>
      </w:pPr>
      <w:r w:rsidRPr="00F81B9B">
        <w:rPr>
          <w:rFonts w:eastAsia="Cambria"/>
          <w:b/>
          <w:szCs w:val="20"/>
          <w:u w:val="single"/>
        </w:rPr>
        <w:t>What does this mean for MRS members</w:t>
      </w:r>
      <w:r>
        <w:rPr>
          <w:rFonts w:eastAsia="Cambria"/>
          <w:b/>
          <w:szCs w:val="20"/>
          <w:u w:val="single"/>
        </w:rPr>
        <w:t xml:space="preserve"> and MRS Company Partners</w:t>
      </w:r>
      <w:r w:rsidRPr="00F81B9B">
        <w:rPr>
          <w:rFonts w:eastAsia="Cambria"/>
          <w:b/>
          <w:szCs w:val="20"/>
          <w:u w:val="single"/>
        </w:rPr>
        <w:t>?</w:t>
      </w:r>
    </w:p>
    <w:p w14:paraId="14CAA629" w14:textId="77777777" w:rsidR="00DD0D6B" w:rsidRDefault="00DD0D6B" w:rsidP="00DD0D6B">
      <w:pPr>
        <w:jc w:val="both"/>
      </w:pPr>
      <w:r>
        <w:t>MRS needs to lead the sector in the way that it addresses the issues and implements the Panel’s findings, for all aspects which are within MRS’ purview.</w:t>
      </w:r>
    </w:p>
    <w:p w14:paraId="3D552ACB" w14:textId="77777777" w:rsidR="00DD0D6B" w:rsidRDefault="00DD0D6B" w:rsidP="00DD0D6B">
      <w:pPr>
        <w:jc w:val="both"/>
      </w:pPr>
      <w:r>
        <w:t xml:space="preserve">MRS as the regulator and Code-holder has scrutinised the Panel’s conclusions and recommendations, not just for opinion polling but research as a whole. </w:t>
      </w:r>
    </w:p>
    <w:p w14:paraId="0757748F" w14:textId="77777777" w:rsidR="00DD0D6B" w:rsidRPr="00F81B9B" w:rsidRDefault="00DD0D6B" w:rsidP="00DD0D6B">
      <w:pPr>
        <w:jc w:val="both"/>
        <w:rPr>
          <w:rFonts w:eastAsia="Cambria"/>
          <w:szCs w:val="20"/>
        </w:rPr>
      </w:pPr>
      <w:r w:rsidRPr="00F81B9B">
        <w:rPr>
          <w:rFonts w:eastAsia="Cambria"/>
          <w:szCs w:val="20"/>
        </w:rPr>
        <w:t xml:space="preserve">The MRS Code of Conduct (2014) contains comprehensive ethical rules which address </w:t>
      </w:r>
      <w:r>
        <w:rPr>
          <w:rFonts w:eastAsia="Cambria"/>
          <w:szCs w:val="20"/>
        </w:rPr>
        <w:t xml:space="preserve">all </w:t>
      </w:r>
      <w:r w:rsidRPr="00F81B9B">
        <w:rPr>
          <w:rFonts w:eastAsia="Cambria"/>
          <w:szCs w:val="20"/>
        </w:rPr>
        <w:t>the issues raised by the Panel.</w:t>
      </w:r>
      <w:r>
        <w:rPr>
          <w:rFonts w:eastAsia="Cambria"/>
          <w:szCs w:val="20"/>
        </w:rPr>
        <w:t xml:space="preserve">  The rules that are particularly pertinent are the following:</w:t>
      </w:r>
    </w:p>
    <w:p w14:paraId="411F3803" w14:textId="77777777" w:rsidR="00DD0D6B" w:rsidRPr="00D832F9" w:rsidRDefault="00DD0D6B" w:rsidP="00DD0D6B">
      <w:pPr>
        <w:jc w:val="both"/>
        <w:rPr>
          <w:i/>
        </w:rPr>
      </w:pPr>
      <w:bookmarkStart w:id="5" w:name="page84"/>
      <w:bookmarkEnd w:id="5"/>
      <w:r w:rsidRPr="00F81B9B">
        <w:rPr>
          <w:b/>
          <w:i/>
        </w:rPr>
        <w:t xml:space="preserve">Rule 5: </w:t>
      </w:r>
      <w:r w:rsidRPr="00D832F9">
        <w:rPr>
          <w:i/>
        </w:rPr>
        <w:t>Members must not act in any way which might bring discredit on the profession, MRS or its members.</w:t>
      </w:r>
    </w:p>
    <w:p w14:paraId="65B4AF6B" w14:textId="77777777" w:rsidR="00DD0D6B" w:rsidRPr="00D832F9" w:rsidRDefault="00DD0D6B" w:rsidP="00DD0D6B">
      <w:pPr>
        <w:jc w:val="both"/>
        <w:rPr>
          <w:i/>
        </w:rPr>
      </w:pPr>
      <w:r w:rsidRPr="00F81B9B">
        <w:rPr>
          <w:b/>
          <w:i/>
        </w:rPr>
        <w:t xml:space="preserve">Rule </w:t>
      </w:r>
      <w:r>
        <w:rPr>
          <w:b/>
          <w:i/>
        </w:rPr>
        <w:t xml:space="preserve">8: </w:t>
      </w:r>
      <w:r w:rsidRPr="00D832F9">
        <w:rPr>
          <w:i/>
        </w:rPr>
        <w:t>Members must take reasonable steps to design research to the specification/and or quality standards agreed with the client.</w:t>
      </w:r>
    </w:p>
    <w:p w14:paraId="5FBA7E07" w14:textId="02FC7F9A" w:rsidR="00DD0D6B" w:rsidRPr="00D832F9" w:rsidRDefault="00DD0D6B" w:rsidP="00DD0D6B">
      <w:pPr>
        <w:jc w:val="both"/>
      </w:pPr>
      <w:r w:rsidRPr="00F81B9B">
        <w:rPr>
          <w:b/>
          <w:i/>
        </w:rPr>
        <w:t xml:space="preserve">Rule 33. </w:t>
      </w:r>
      <w:r w:rsidRPr="00D832F9">
        <w:rPr>
          <w:i/>
        </w:rPr>
        <w:t>Members must take reasonable steps to ensure all of the following</w:t>
      </w:r>
      <w:r w:rsidRPr="00D832F9">
        <w:t xml:space="preserve">: </w:t>
      </w:r>
    </w:p>
    <w:p w14:paraId="1081AA70" w14:textId="77777777" w:rsidR="00DD0D6B" w:rsidRPr="00D832F9" w:rsidRDefault="00DD0D6B" w:rsidP="00DD0D6B">
      <w:pPr>
        <w:jc w:val="both"/>
        <w:rPr>
          <w:i/>
        </w:rPr>
      </w:pPr>
      <w:r w:rsidRPr="00D832F9">
        <w:rPr>
          <w:i/>
        </w:rPr>
        <w:t xml:space="preserve">a. that data collection processes are fit for purpose and clients have been advised accordingly; </w:t>
      </w:r>
    </w:p>
    <w:p w14:paraId="597440A2" w14:textId="77777777" w:rsidR="00DD0D6B" w:rsidRPr="00D832F9" w:rsidRDefault="00DD0D6B" w:rsidP="00DD0D6B">
      <w:pPr>
        <w:jc w:val="both"/>
        <w:rPr>
          <w:i/>
        </w:rPr>
      </w:pPr>
      <w:r w:rsidRPr="00D832F9">
        <w:rPr>
          <w:i/>
        </w:rPr>
        <w:t xml:space="preserve">b. that the design and content of data collection processes are appropriate for the audience being researched; </w:t>
      </w:r>
    </w:p>
    <w:p w14:paraId="5BE07EA9" w14:textId="77777777" w:rsidR="00DD0D6B" w:rsidRPr="00D832F9" w:rsidRDefault="00DD0D6B" w:rsidP="00DD0D6B">
      <w:pPr>
        <w:jc w:val="both"/>
        <w:rPr>
          <w:i/>
        </w:rPr>
      </w:pPr>
      <w:r w:rsidRPr="00D832F9">
        <w:rPr>
          <w:i/>
        </w:rPr>
        <w:t xml:space="preserve">c. that participants are able to provide information in a way that reflects the view they want to express, including don’t know/ prefer not to say where appropriate; </w:t>
      </w:r>
    </w:p>
    <w:p w14:paraId="4E68043E" w14:textId="77777777" w:rsidR="00DD0D6B" w:rsidRPr="00D832F9" w:rsidRDefault="00DD0D6B" w:rsidP="00DD0D6B">
      <w:pPr>
        <w:jc w:val="both"/>
        <w:rPr>
          <w:i/>
        </w:rPr>
      </w:pPr>
      <w:r w:rsidRPr="00D832F9">
        <w:rPr>
          <w:i/>
        </w:rPr>
        <w:t xml:space="preserve">d. that participants are not led towards a particular point of view; </w:t>
      </w:r>
    </w:p>
    <w:p w14:paraId="0777991E" w14:textId="77777777" w:rsidR="00DD0D6B" w:rsidRPr="00D832F9" w:rsidRDefault="00DD0D6B" w:rsidP="00DD0D6B">
      <w:pPr>
        <w:jc w:val="both"/>
        <w:rPr>
          <w:i/>
        </w:rPr>
      </w:pPr>
      <w:r w:rsidRPr="00D832F9">
        <w:rPr>
          <w:i/>
        </w:rPr>
        <w:t xml:space="preserve">e. that responses are capable of being interpreted in an unambiguous way; and </w:t>
      </w:r>
    </w:p>
    <w:p w14:paraId="1239B82B" w14:textId="12F4E129" w:rsidR="00DD0D6B" w:rsidRPr="00126523" w:rsidRDefault="00DD0D6B" w:rsidP="00DD0D6B">
      <w:pPr>
        <w:jc w:val="both"/>
        <w:rPr>
          <w:b/>
          <w:i/>
        </w:rPr>
      </w:pPr>
      <w:r w:rsidRPr="00D832F9">
        <w:rPr>
          <w:i/>
        </w:rPr>
        <w:t>f. that personal data collected are relevant and not excessive</w:t>
      </w:r>
      <w:r w:rsidR="00E545E5">
        <w:rPr>
          <w:i/>
        </w:rPr>
        <w:t>.</w:t>
      </w:r>
    </w:p>
    <w:p w14:paraId="4B5AF9CD" w14:textId="77777777" w:rsidR="00DD0D6B" w:rsidRPr="00D832F9" w:rsidRDefault="00DD0D6B" w:rsidP="00DD0D6B">
      <w:pPr>
        <w:jc w:val="both"/>
        <w:rPr>
          <w:i/>
        </w:rPr>
      </w:pPr>
      <w:r w:rsidRPr="00126523">
        <w:rPr>
          <w:b/>
          <w:i/>
        </w:rPr>
        <w:t xml:space="preserve">Rule 47: </w:t>
      </w:r>
      <w:r w:rsidRPr="00D832F9">
        <w:rPr>
          <w:i/>
        </w:rPr>
        <w:t>Members must ensure that findings disseminated by them are clearly and adequately supported by the data.</w:t>
      </w:r>
    </w:p>
    <w:p w14:paraId="7C2DFF71" w14:textId="489DAEF0" w:rsidR="00DD0D6B" w:rsidRDefault="00DD0D6B" w:rsidP="00DD0D6B">
      <w:pPr>
        <w:jc w:val="both"/>
        <w:rPr>
          <w:i/>
        </w:rPr>
      </w:pPr>
      <w:r w:rsidRPr="00126523">
        <w:rPr>
          <w:b/>
          <w:i/>
        </w:rPr>
        <w:t xml:space="preserve">Rule </w:t>
      </w:r>
      <w:r>
        <w:rPr>
          <w:b/>
          <w:i/>
        </w:rPr>
        <w:t xml:space="preserve">48: </w:t>
      </w:r>
      <w:r w:rsidRPr="00D832F9">
        <w:rPr>
          <w:i/>
        </w:rPr>
        <w:t>Members must comply with reasonable requests to make available to anyone the information necessary to assess the validity of</w:t>
      </w:r>
      <w:r w:rsidR="008A2292">
        <w:rPr>
          <w:i/>
        </w:rPr>
        <w:t xml:space="preserve"> any published findings from a</w:t>
      </w:r>
      <w:r w:rsidRPr="00D832F9">
        <w:rPr>
          <w:i/>
        </w:rPr>
        <w:t xml:space="preserve"> project.</w:t>
      </w:r>
    </w:p>
    <w:p w14:paraId="35798853" w14:textId="77777777" w:rsidR="00211535" w:rsidRDefault="00211535" w:rsidP="00DD0D6B">
      <w:pPr>
        <w:jc w:val="both"/>
        <w:rPr>
          <w:b/>
          <w:u w:val="single"/>
        </w:rPr>
      </w:pPr>
    </w:p>
    <w:p w14:paraId="126FA33C" w14:textId="77777777" w:rsidR="00211535" w:rsidRDefault="00211535" w:rsidP="00DD0D6B">
      <w:pPr>
        <w:jc w:val="both"/>
        <w:rPr>
          <w:b/>
          <w:u w:val="single"/>
        </w:rPr>
      </w:pPr>
    </w:p>
    <w:p w14:paraId="0BAD8751" w14:textId="77777777" w:rsidR="00DD0D6B" w:rsidRPr="00D832F9" w:rsidRDefault="00DD0D6B" w:rsidP="00DD0D6B">
      <w:pPr>
        <w:jc w:val="both"/>
        <w:rPr>
          <w:b/>
          <w:u w:val="single"/>
        </w:rPr>
      </w:pPr>
      <w:r w:rsidRPr="00D832F9">
        <w:rPr>
          <w:b/>
          <w:u w:val="single"/>
        </w:rPr>
        <w:t>Next steps for MRS</w:t>
      </w:r>
    </w:p>
    <w:p w14:paraId="1B2CEC3F" w14:textId="77777777" w:rsidR="00DD0D6B" w:rsidRDefault="00DD0D6B" w:rsidP="00DD0D6B">
      <w:pPr>
        <w:jc w:val="both"/>
      </w:pPr>
      <w:r>
        <w:lastRenderedPageBreak/>
        <w:t>MRS will continue to keep this issue under review, not least in light of the forthcoming referendum.</w:t>
      </w:r>
    </w:p>
    <w:p w14:paraId="256FDABF" w14:textId="77777777" w:rsidR="00DD0D6B" w:rsidRDefault="00DD0D6B" w:rsidP="00DD0D6B">
      <w:pPr>
        <w:jc w:val="both"/>
      </w:pPr>
      <w:r>
        <w:t>At this stage there are a number of actions which MRS has already initiated:</w:t>
      </w:r>
    </w:p>
    <w:p w14:paraId="4F278B28" w14:textId="1A9CB40C" w:rsidR="00DD0D6B" w:rsidRDefault="00D234F3" w:rsidP="00DD0D6B">
      <w:pPr>
        <w:pStyle w:val="ListParagraph"/>
        <w:numPr>
          <w:ilvl w:val="0"/>
          <w:numId w:val="3"/>
        </w:numPr>
        <w:jc w:val="both"/>
      </w:pPr>
      <w:r>
        <w:t xml:space="preserve">Review and update the </w:t>
      </w:r>
      <w:hyperlink r:id="rId9" w:history="1">
        <w:r w:rsidRPr="00211535">
          <w:rPr>
            <w:rStyle w:val="Hyperlink"/>
          </w:rPr>
          <w:t>CIPR</w:t>
        </w:r>
        <w:r w:rsidR="00DD0D6B" w:rsidRPr="00211535">
          <w:rPr>
            <w:rStyle w:val="Hyperlink"/>
          </w:rPr>
          <w:t xml:space="preserve">/MRS/RSS </w:t>
        </w:r>
        <w:r w:rsidR="00211535" w:rsidRPr="00211535">
          <w:rPr>
            <w:rStyle w:val="Hyperlink"/>
            <w:i/>
          </w:rPr>
          <w:t xml:space="preserve">Best Practice Guide for </w:t>
        </w:r>
        <w:r w:rsidR="00DD0D6B" w:rsidRPr="00211535">
          <w:rPr>
            <w:rStyle w:val="Hyperlink"/>
            <w:i/>
          </w:rPr>
          <w:t>Using Statistics in Communications.</w:t>
        </w:r>
      </w:hyperlink>
    </w:p>
    <w:p w14:paraId="3B125918" w14:textId="77777777" w:rsidR="00DD0D6B" w:rsidRDefault="00DD0D6B" w:rsidP="00DD0D6B">
      <w:pPr>
        <w:pStyle w:val="ListParagraph"/>
        <w:numPr>
          <w:ilvl w:val="0"/>
          <w:numId w:val="3"/>
        </w:numPr>
        <w:jc w:val="both"/>
      </w:pPr>
      <w:r>
        <w:rPr>
          <w:szCs w:val="20"/>
        </w:rPr>
        <w:t>Development of new guidance on age bands within sample frames</w:t>
      </w:r>
    </w:p>
    <w:p w14:paraId="49F0C635" w14:textId="77777777" w:rsidR="00DD0D6B" w:rsidRPr="00082213" w:rsidRDefault="00DD0D6B" w:rsidP="00DD0D6B">
      <w:pPr>
        <w:pStyle w:val="ListParagraph"/>
        <w:numPr>
          <w:ilvl w:val="0"/>
          <w:numId w:val="3"/>
        </w:numPr>
        <w:jc w:val="both"/>
      </w:pPr>
      <w:r>
        <w:t>Development of new guidance for non-researchers on how to interpret opinion polls (to aid greater understanding on the limitations of polls).</w:t>
      </w:r>
    </w:p>
    <w:p w14:paraId="34F0CCF3" w14:textId="77777777" w:rsidR="00912F42" w:rsidRDefault="00912F42">
      <w:bookmarkStart w:id="6" w:name="_GoBack"/>
      <w:bookmarkEnd w:id="6"/>
    </w:p>
    <w:sectPr w:rsidR="00912F42" w:rsidSect="00912F42">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5F666A" w14:textId="77777777" w:rsidR="00792405" w:rsidRDefault="008A2292">
      <w:pPr>
        <w:spacing w:after="0" w:line="240" w:lineRule="auto"/>
      </w:pPr>
      <w:r>
        <w:separator/>
      </w:r>
    </w:p>
  </w:endnote>
  <w:endnote w:type="continuationSeparator" w:id="0">
    <w:p w14:paraId="62EEBAA8" w14:textId="77777777" w:rsidR="00792405" w:rsidRDefault="008A22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62247597"/>
      <w:docPartObj>
        <w:docPartGallery w:val="Page Numbers (Bottom of Page)"/>
        <w:docPartUnique/>
      </w:docPartObj>
    </w:sdtPr>
    <w:sdtEndPr>
      <w:rPr>
        <w:noProof/>
      </w:rPr>
    </w:sdtEndPr>
    <w:sdtContent>
      <w:p w14:paraId="490E47F9" w14:textId="77777777" w:rsidR="0062540D" w:rsidRDefault="00DD0D6B">
        <w:pPr>
          <w:pStyle w:val="Footer"/>
          <w:jc w:val="center"/>
        </w:pPr>
        <w:r>
          <w:fldChar w:fldCharType="begin"/>
        </w:r>
        <w:r>
          <w:instrText xml:space="preserve"> PAGE   \* MERGEFORMAT </w:instrText>
        </w:r>
        <w:r>
          <w:fldChar w:fldCharType="separate"/>
        </w:r>
        <w:r w:rsidR="00211535">
          <w:rPr>
            <w:noProof/>
          </w:rPr>
          <w:t>7</w:t>
        </w:r>
        <w:r>
          <w:rPr>
            <w:noProof/>
          </w:rPr>
          <w:fldChar w:fldCharType="end"/>
        </w:r>
      </w:p>
    </w:sdtContent>
  </w:sdt>
  <w:p w14:paraId="43EC063B" w14:textId="77777777" w:rsidR="0062540D" w:rsidRDefault="0021153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F9F398" w14:textId="77777777" w:rsidR="00792405" w:rsidRDefault="008A2292">
      <w:pPr>
        <w:spacing w:after="0" w:line="240" w:lineRule="auto"/>
      </w:pPr>
      <w:r>
        <w:separator/>
      </w:r>
    </w:p>
  </w:footnote>
  <w:footnote w:type="continuationSeparator" w:id="0">
    <w:p w14:paraId="17AB3E67" w14:textId="77777777" w:rsidR="00792405" w:rsidRDefault="008A229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0F0D3F"/>
    <w:multiLevelType w:val="hybridMultilevel"/>
    <w:tmpl w:val="B748E82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58C13EAB"/>
    <w:multiLevelType w:val="hybridMultilevel"/>
    <w:tmpl w:val="E09A25AE"/>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 w15:restartNumberingAfterBreak="0">
    <w:nsid w:val="7E456D15"/>
    <w:multiLevelType w:val="hybridMultilevel"/>
    <w:tmpl w:val="DAE29F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0D6B"/>
    <w:rsid w:val="00033935"/>
    <w:rsid w:val="00064E3C"/>
    <w:rsid w:val="000C651F"/>
    <w:rsid w:val="0017606C"/>
    <w:rsid w:val="00211535"/>
    <w:rsid w:val="00253474"/>
    <w:rsid w:val="00367F24"/>
    <w:rsid w:val="00541551"/>
    <w:rsid w:val="0058061D"/>
    <w:rsid w:val="005C0B12"/>
    <w:rsid w:val="005D78F8"/>
    <w:rsid w:val="00601344"/>
    <w:rsid w:val="00607AE9"/>
    <w:rsid w:val="006145F0"/>
    <w:rsid w:val="006464EF"/>
    <w:rsid w:val="006602CC"/>
    <w:rsid w:val="00686F79"/>
    <w:rsid w:val="006D7124"/>
    <w:rsid w:val="006E0E05"/>
    <w:rsid w:val="00792405"/>
    <w:rsid w:val="00880BF7"/>
    <w:rsid w:val="008A2292"/>
    <w:rsid w:val="00912F42"/>
    <w:rsid w:val="009B1542"/>
    <w:rsid w:val="00A32012"/>
    <w:rsid w:val="00A54512"/>
    <w:rsid w:val="00A80852"/>
    <w:rsid w:val="00A868FE"/>
    <w:rsid w:val="00AF10A6"/>
    <w:rsid w:val="00CE59BD"/>
    <w:rsid w:val="00D234F3"/>
    <w:rsid w:val="00DD0D6B"/>
    <w:rsid w:val="00DD12BC"/>
    <w:rsid w:val="00DF5C8F"/>
    <w:rsid w:val="00E545E5"/>
    <w:rsid w:val="00E83AE5"/>
    <w:rsid w:val="00E979C1"/>
    <w:rsid w:val="00EB219D"/>
    <w:rsid w:val="00F70DD7"/>
    <w:rsid w:val="00F85B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F95F94"/>
  <w15:chartTrackingRefBased/>
  <w15:docId w15:val="{D9B6346D-F750-4E9B-9478-BF58759219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Verdana" w:eastAsiaTheme="minorHAnsi" w:hAnsi="Verdana" w:cstheme="minorBidi"/>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0D6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D0D6B"/>
    <w:pPr>
      <w:ind w:left="720"/>
      <w:contextualSpacing/>
    </w:pPr>
  </w:style>
  <w:style w:type="character" w:styleId="CommentReference">
    <w:name w:val="annotation reference"/>
    <w:basedOn w:val="DefaultParagraphFont"/>
    <w:uiPriority w:val="99"/>
    <w:semiHidden/>
    <w:unhideWhenUsed/>
    <w:rsid w:val="00DD0D6B"/>
    <w:rPr>
      <w:sz w:val="16"/>
      <w:szCs w:val="16"/>
    </w:rPr>
  </w:style>
  <w:style w:type="paragraph" w:styleId="CommentText">
    <w:name w:val="annotation text"/>
    <w:basedOn w:val="Normal"/>
    <w:link w:val="CommentTextChar"/>
    <w:uiPriority w:val="99"/>
    <w:semiHidden/>
    <w:unhideWhenUsed/>
    <w:rsid w:val="00DD0D6B"/>
    <w:pPr>
      <w:spacing w:line="240" w:lineRule="auto"/>
    </w:pPr>
    <w:rPr>
      <w:szCs w:val="20"/>
    </w:rPr>
  </w:style>
  <w:style w:type="character" w:customStyle="1" w:styleId="CommentTextChar">
    <w:name w:val="Comment Text Char"/>
    <w:basedOn w:val="DefaultParagraphFont"/>
    <w:link w:val="CommentText"/>
    <w:uiPriority w:val="99"/>
    <w:semiHidden/>
    <w:rsid w:val="00DD0D6B"/>
    <w:rPr>
      <w:szCs w:val="20"/>
    </w:rPr>
  </w:style>
  <w:style w:type="paragraph" w:styleId="Footer">
    <w:name w:val="footer"/>
    <w:basedOn w:val="Normal"/>
    <w:link w:val="FooterChar"/>
    <w:uiPriority w:val="99"/>
    <w:unhideWhenUsed/>
    <w:rsid w:val="00DD0D6B"/>
    <w:pPr>
      <w:tabs>
        <w:tab w:val="center" w:pos="4513"/>
        <w:tab w:val="right" w:pos="9026"/>
      </w:tabs>
      <w:spacing w:after="0" w:line="240" w:lineRule="auto"/>
    </w:pPr>
  </w:style>
  <w:style w:type="character" w:customStyle="1" w:styleId="FooterChar">
    <w:name w:val="Footer Char"/>
    <w:basedOn w:val="DefaultParagraphFont"/>
    <w:link w:val="Footer"/>
    <w:uiPriority w:val="99"/>
    <w:rsid w:val="00DD0D6B"/>
  </w:style>
  <w:style w:type="paragraph" w:styleId="BalloonText">
    <w:name w:val="Balloon Text"/>
    <w:basedOn w:val="Normal"/>
    <w:link w:val="BalloonTextChar"/>
    <w:uiPriority w:val="99"/>
    <w:semiHidden/>
    <w:unhideWhenUsed/>
    <w:rsid w:val="00DD0D6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0D6B"/>
    <w:rPr>
      <w:rFonts w:ascii="Segoe UI" w:hAnsi="Segoe UI" w:cs="Segoe UI"/>
      <w:sz w:val="18"/>
      <w:szCs w:val="18"/>
    </w:rPr>
  </w:style>
  <w:style w:type="character" w:styleId="Hyperlink">
    <w:name w:val="Hyperlink"/>
    <w:basedOn w:val="DefaultParagraphFont"/>
    <w:uiPriority w:val="99"/>
    <w:unhideWhenUsed/>
    <w:rsid w:val="0021153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1.jpg@01D1576B.D4E241D0"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mrs.org.uk/pdf/CIPR%20MRS%20RSS%20Guidelines%20for%20using%20statistics%20in%20communications%20CIPR.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2485</Words>
  <Characters>14168</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itinfo mrs</dc:creator>
  <cp:keywords/>
  <dc:description/>
  <cp:lastModifiedBy>itinfo mrs</cp:lastModifiedBy>
  <cp:revision>2</cp:revision>
  <cp:lastPrinted>2016-03-30T08:29:00Z</cp:lastPrinted>
  <dcterms:created xsi:type="dcterms:W3CDTF">2016-03-30T08:41:00Z</dcterms:created>
  <dcterms:modified xsi:type="dcterms:W3CDTF">2016-03-30T08:41:00Z</dcterms:modified>
</cp:coreProperties>
</file>